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16" w:rsidRPr="00EB4A27" w:rsidRDefault="00EB4A27" w:rsidP="00EB4A27">
      <w:pPr>
        <w:rPr>
          <w:rFonts w:asciiTheme="minorHAnsi" w:hAnsiTheme="minorHAnsi"/>
          <w:sz w:val="22"/>
          <w:szCs w:val="22"/>
          <w:lang w:val="fr-BE"/>
        </w:rPr>
      </w:pPr>
      <w:r w:rsidRPr="00EB4A27">
        <w:rPr>
          <w:rFonts w:asciiTheme="minorHAnsi" w:hAnsiTheme="minorHAnsi" w:cs="Arial"/>
          <w:b/>
          <w:bCs/>
          <w:color w:val="333333"/>
          <w:sz w:val="22"/>
          <w:szCs w:val="22"/>
          <w:lang w:val="fr-BE"/>
        </w:rPr>
        <w:t xml:space="preserve">Circulaire </w:t>
      </w:r>
      <w:proofErr w:type="spellStart"/>
      <w:r w:rsidRPr="00EB4A27">
        <w:rPr>
          <w:rFonts w:asciiTheme="minorHAnsi" w:hAnsiTheme="minorHAnsi" w:cs="Arial"/>
          <w:b/>
          <w:bCs/>
          <w:color w:val="333333"/>
          <w:sz w:val="22"/>
          <w:szCs w:val="22"/>
          <w:lang w:val="fr-BE"/>
        </w:rPr>
        <w:t>AGFisc</w:t>
      </w:r>
      <w:proofErr w:type="spellEnd"/>
      <w:r w:rsidRPr="00EB4A27">
        <w:rPr>
          <w:rFonts w:asciiTheme="minorHAnsi" w:hAnsiTheme="minorHAnsi" w:cs="Arial"/>
          <w:b/>
          <w:bCs/>
          <w:color w:val="333333"/>
          <w:sz w:val="22"/>
          <w:szCs w:val="22"/>
          <w:lang w:val="fr-BE"/>
        </w:rPr>
        <w:t xml:space="preserve"> N° 17/2015 (n° Ci.RH.244/635.467) dd. 08.05.2015</w:t>
      </w:r>
    </w:p>
    <w:p w:rsidR="00EB4A27" w:rsidRPr="00EB4A27" w:rsidRDefault="00EB4A27" w:rsidP="00EB4A27">
      <w:pPr>
        <w:rPr>
          <w:rFonts w:asciiTheme="minorHAnsi" w:hAnsiTheme="minorHAnsi"/>
          <w:sz w:val="22"/>
          <w:szCs w:val="22"/>
          <w:lang w:val="fr-BE"/>
        </w:rPr>
      </w:pP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Administration générale de la Fiscalité – Expertise Opérationnelle et Support</w:t>
      </w:r>
      <w:r w:rsidRPr="00EB4A27">
        <w:rPr>
          <w:rFonts w:asciiTheme="minorHAnsi" w:hAnsiTheme="minorHAnsi"/>
          <w:color w:val="333333"/>
          <w:sz w:val="22"/>
          <w:szCs w:val="22"/>
          <w:lang w:val="fr-BE" w:eastAsia="nl-BE"/>
        </w:rPr>
        <w:br/>
        <w:t>Service IPP</w:t>
      </w:r>
      <w:r w:rsidRPr="00EB4A27">
        <w:rPr>
          <w:rFonts w:asciiTheme="minorHAnsi" w:hAnsiTheme="minorHAnsi"/>
          <w:color w:val="333333"/>
          <w:sz w:val="22"/>
          <w:szCs w:val="22"/>
          <w:lang w:val="fr-BE" w:eastAsia="nl-BE"/>
        </w:rPr>
        <w:br/>
        <w:t>Impôt des personnes physiques</w:t>
      </w:r>
    </w:p>
    <w:p w:rsidR="00EB4A27" w:rsidRDefault="00EB4A27" w:rsidP="00EB4A27">
      <w:pPr>
        <w:rPr>
          <w:rFonts w:asciiTheme="minorHAnsi" w:hAnsiTheme="minorHAnsi"/>
          <w:b/>
          <w:bCs/>
          <w:color w:val="333333"/>
          <w:sz w:val="22"/>
          <w:szCs w:val="22"/>
          <w:lang w:val="fr-BE" w:eastAsia="nl-BE"/>
        </w:rPr>
      </w:pP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b/>
          <w:bCs/>
          <w:color w:val="333333"/>
          <w:sz w:val="22"/>
          <w:szCs w:val="22"/>
          <w:lang w:val="fr-BE" w:eastAsia="nl-BE"/>
        </w:rPr>
        <w:t xml:space="preserve">Circulaire </w:t>
      </w:r>
      <w:proofErr w:type="spellStart"/>
      <w:r w:rsidRPr="00EB4A27">
        <w:rPr>
          <w:rFonts w:asciiTheme="minorHAnsi" w:hAnsiTheme="minorHAnsi"/>
          <w:b/>
          <w:bCs/>
          <w:color w:val="333333"/>
          <w:sz w:val="22"/>
          <w:szCs w:val="22"/>
          <w:lang w:val="fr-BE" w:eastAsia="nl-BE"/>
        </w:rPr>
        <w:t>AGFisc</w:t>
      </w:r>
      <w:proofErr w:type="spellEnd"/>
      <w:r w:rsidRPr="00EB4A27">
        <w:rPr>
          <w:rFonts w:asciiTheme="minorHAnsi" w:hAnsiTheme="minorHAnsi"/>
          <w:b/>
          <w:bCs/>
          <w:color w:val="333333"/>
          <w:sz w:val="22"/>
          <w:szCs w:val="22"/>
          <w:lang w:val="fr-BE" w:eastAsia="nl-BE"/>
        </w:rPr>
        <w:t xml:space="preserve"> N° 17/2015 (n° Ci.RH.244/635.467) dd. 08.05.2015</w:t>
      </w:r>
      <w:r w:rsidRPr="00EB4A27">
        <w:rPr>
          <w:rFonts w:asciiTheme="minorHAnsi" w:hAnsiTheme="minorHAnsi"/>
          <w:color w:val="333333"/>
          <w:sz w:val="22"/>
          <w:szCs w:val="22"/>
          <w:lang w:val="fr-BE" w:eastAsia="nl-BE"/>
        </w:rPr>
        <w:t xml:space="preserve"> </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i/>
          <w:iCs/>
          <w:color w:val="333333"/>
          <w:sz w:val="22"/>
          <w:szCs w:val="22"/>
          <w:lang w:val="fr-BE" w:eastAsia="nl-BE"/>
        </w:rPr>
        <w:t>Précompte professionnel</w:t>
      </w:r>
      <w:r w:rsidRPr="00EB4A27">
        <w:rPr>
          <w:rFonts w:asciiTheme="minorHAnsi" w:hAnsiTheme="minorHAnsi"/>
          <w:i/>
          <w:iCs/>
          <w:color w:val="333333"/>
          <w:sz w:val="22"/>
          <w:szCs w:val="22"/>
          <w:lang w:val="fr-BE" w:eastAsia="nl-BE"/>
        </w:rPr>
        <w:br/>
        <w:t>Dispense de versement du précompte professionnel</w:t>
      </w:r>
      <w:r w:rsidRPr="00EB4A27">
        <w:rPr>
          <w:rFonts w:asciiTheme="minorHAnsi" w:hAnsiTheme="minorHAnsi"/>
          <w:i/>
          <w:iCs/>
          <w:color w:val="333333"/>
          <w:sz w:val="22"/>
          <w:szCs w:val="22"/>
          <w:lang w:val="fr-BE" w:eastAsia="nl-BE"/>
        </w:rPr>
        <w:br/>
        <w:t>Recherche et développement</w:t>
      </w:r>
      <w:r w:rsidRPr="00EB4A27">
        <w:rPr>
          <w:rFonts w:asciiTheme="minorHAnsi" w:hAnsiTheme="minorHAnsi"/>
          <w:color w:val="333333"/>
          <w:sz w:val="22"/>
          <w:szCs w:val="22"/>
          <w:lang w:val="fr-BE" w:eastAsia="nl-BE"/>
        </w:rPr>
        <w:t xml:space="preserve"> </w:t>
      </w:r>
    </w:p>
    <w:p w:rsidR="00EB4A27" w:rsidRDefault="00EB4A27" w:rsidP="00EB4A27">
      <w:pPr>
        <w:rPr>
          <w:rFonts w:asciiTheme="minorHAnsi" w:hAnsiTheme="minorHAnsi"/>
          <w:b/>
          <w:bCs/>
          <w:color w:val="333333"/>
          <w:sz w:val="22"/>
          <w:szCs w:val="22"/>
          <w:lang w:val="fr-BE" w:eastAsia="nl-BE"/>
        </w:rPr>
      </w:pP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b/>
          <w:bCs/>
          <w:color w:val="333333"/>
          <w:sz w:val="22"/>
          <w:szCs w:val="22"/>
          <w:lang w:val="fr-BE" w:eastAsia="nl-BE"/>
        </w:rPr>
        <w:t>Conditions liées au diplôme et règle du prorata.</w:t>
      </w:r>
      <w:r w:rsidRPr="00EB4A27">
        <w:rPr>
          <w:rFonts w:asciiTheme="minorHAnsi" w:hAnsiTheme="minorHAnsi"/>
          <w:color w:val="333333"/>
          <w:sz w:val="22"/>
          <w:szCs w:val="22"/>
          <w:lang w:val="fr-BE" w:eastAsia="nl-BE"/>
        </w:rPr>
        <w:t xml:space="preserve"> </w:t>
      </w:r>
    </w:p>
    <w:p w:rsidR="00EB4A27" w:rsidRDefault="00EB4A27" w:rsidP="00EB4A27">
      <w:pPr>
        <w:outlineLvl w:val="0"/>
        <w:rPr>
          <w:rFonts w:asciiTheme="minorHAnsi" w:hAnsiTheme="minorHAnsi"/>
          <w:b/>
          <w:bCs/>
          <w:color w:val="333333"/>
          <w:kern w:val="36"/>
          <w:sz w:val="22"/>
          <w:szCs w:val="22"/>
          <w:lang w:val="fr-BE" w:eastAsia="nl-BE"/>
        </w:rPr>
      </w:pPr>
    </w:p>
    <w:p w:rsidR="00EB4A27" w:rsidRPr="00EB4A27" w:rsidRDefault="00EB4A27" w:rsidP="00EB4A27">
      <w:pPr>
        <w:outlineLvl w:val="0"/>
        <w:rPr>
          <w:rFonts w:asciiTheme="minorHAnsi" w:hAnsiTheme="minorHAnsi"/>
          <w:b/>
          <w:bCs/>
          <w:color w:val="333333"/>
          <w:kern w:val="36"/>
          <w:sz w:val="22"/>
          <w:szCs w:val="22"/>
          <w:lang w:val="fr-BE" w:eastAsia="nl-BE"/>
        </w:rPr>
      </w:pPr>
      <w:r w:rsidRPr="00EB4A27">
        <w:rPr>
          <w:rFonts w:asciiTheme="minorHAnsi" w:hAnsiTheme="minorHAnsi"/>
          <w:b/>
          <w:bCs/>
          <w:color w:val="333333"/>
          <w:kern w:val="36"/>
          <w:sz w:val="22"/>
          <w:szCs w:val="22"/>
          <w:lang w:val="fr-BE" w:eastAsia="nl-BE"/>
        </w:rPr>
        <w:t>INTRODUCTION</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1. La présente circulaire a pour but de préciser la position de l’Administration fiscale concernant l’application de la dispense partielle de versement du précompte professionnel pour la recherche et le développement (article 275</w:t>
      </w:r>
      <w:r w:rsidRPr="00EB4A27">
        <w:rPr>
          <w:rFonts w:asciiTheme="minorHAnsi" w:hAnsiTheme="minorHAnsi"/>
          <w:color w:val="333333"/>
          <w:sz w:val="22"/>
          <w:szCs w:val="22"/>
          <w:vertAlign w:val="superscript"/>
          <w:lang w:val="fr-BE" w:eastAsia="nl-BE"/>
        </w:rPr>
        <w:t>3</w:t>
      </w:r>
      <w:r w:rsidRPr="00EB4A27">
        <w:rPr>
          <w:rFonts w:asciiTheme="minorHAnsi" w:hAnsiTheme="minorHAnsi"/>
          <w:color w:val="333333"/>
          <w:sz w:val="22"/>
          <w:szCs w:val="22"/>
          <w:lang w:val="fr-BE" w:eastAsia="nl-BE"/>
        </w:rPr>
        <w:t>, CIR 92) et ce, en ce qui concerne les chercheurs visés et les rémunérations à prendre en compte.</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2. Cette circulaire accorde une attention particulière aux deux points suivants :</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     l’acceptation des diplômes professionnels de bachelier pour l’application de l’article 275</w:t>
      </w:r>
      <w:r w:rsidRPr="00EB4A27">
        <w:rPr>
          <w:rFonts w:asciiTheme="minorHAnsi" w:hAnsiTheme="minorHAnsi"/>
          <w:color w:val="333333"/>
          <w:sz w:val="22"/>
          <w:szCs w:val="22"/>
          <w:vertAlign w:val="superscript"/>
          <w:lang w:val="fr-BE" w:eastAsia="nl-BE"/>
        </w:rPr>
        <w:t>3</w:t>
      </w:r>
      <w:r w:rsidRPr="00EB4A27">
        <w:rPr>
          <w:rFonts w:asciiTheme="minorHAnsi" w:hAnsiTheme="minorHAnsi"/>
          <w:color w:val="333333"/>
          <w:sz w:val="22"/>
          <w:szCs w:val="22"/>
          <w:lang w:val="fr-BE" w:eastAsia="nl-BE"/>
        </w:rPr>
        <w:t>, § 1</w:t>
      </w:r>
      <w:r w:rsidRPr="00EB4A27">
        <w:rPr>
          <w:rFonts w:asciiTheme="minorHAnsi" w:hAnsiTheme="minorHAnsi"/>
          <w:color w:val="333333"/>
          <w:sz w:val="22"/>
          <w:szCs w:val="22"/>
          <w:vertAlign w:val="superscript"/>
          <w:lang w:val="fr-BE" w:eastAsia="nl-BE"/>
        </w:rPr>
        <w:t>er</w:t>
      </w:r>
      <w:r w:rsidRPr="00EB4A27">
        <w:rPr>
          <w:rFonts w:asciiTheme="minorHAnsi" w:hAnsiTheme="minorHAnsi"/>
          <w:color w:val="333333"/>
          <w:sz w:val="22"/>
          <w:szCs w:val="22"/>
          <w:lang w:val="fr-BE" w:eastAsia="nl-BE"/>
        </w:rPr>
        <w:t>, al. 1</w:t>
      </w:r>
      <w:r w:rsidRPr="00EB4A27">
        <w:rPr>
          <w:rFonts w:asciiTheme="minorHAnsi" w:hAnsiTheme="minorHAnsi"/>
          <w:color w:val="333333"/>
          <w:sz w:val="22"/>
          <w:szCs w:val="22"/>
          <w:vertAlign w:val="superscript"/>
          <w:lang w:val="fr-BE" w:eastAsia="nl-BE"/>
        </w:rPr>
        <w:t>er</w:t>
      </w:r>
      <w:r w:rsidRPr="00EB4A27">
        <w:rPr>
          <w:rFonts w:asciiTheme="minorHAnsi" w:hAnsiTheme="minorHAnsi"/>
          <w:color w:val="333333"/>
          <w:sz w:val="22"/>
          <w:szCs w:val="22"/>
          <w:lang w:val="fr-BE" w:eastAsia="nl-BE"/>
        </w:rPr>
        <w:t xml:space="preserve"> et 2, CIR 92 (hautes écoles, universités et institutions scientifiques agrées);</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     la règle du prorata lors de l’application de l’article 275</w:t>
      </w:r>
      <w:r w:rsidRPr="00EB4A27">
        <w:rPr>
          <w:rFonts w:asciiTheme="minorHAnsi" w:hAnsiTheme="minorHAnsi"/>
          <w:color w:val="333333"/>
          <w:sz w:val="22"/>
          <w:szCs w:val="22"/>
          <w:vertAlign w:val="superscript"/>
          <w:lang w:val="fr-BE" w:eastAsia="nl-BE"/>
        </w:rPr>
        <w:t>3</w:t>
      </w:r>
      <w:r w:rsidRPr="00EB4A27">
        <w:rPr>
          <w:rFonts w:asciiTheme="minorHAnsi" w:hAnsiTheme="minorHAnsi"/>
          <w:color w:val="333333"/>
          <w:sz w:val="22"/>
          <w:szCs w:val="22"/>
          <w:lang w:val="fr-BE" w:eastAsia="nl-BE"/>
        </w:rPr>
        <w:t>, § 1</w:t>
      </w:r>
      <w:r w:rsidRPr="00EB4A27">
        <w:rPr>
          <w:rFonts w:asciiTheme="minorHAnsi" w:hAnsiTheme="minorHAnsi"/>
          <w:color w:val="333333"/>
          <w:sz w:val="22"/>
          <w:szCs w:val="22"/>
          <w:vertAlign w:val="superscript"/>
          <w:lang w:val="fr-BE" w:eastAsia="nl-BE"/>
        </w:rPr>
        <w:t>er</w:t>
      </w:r>
      <w:r w:rsidRPr="00EB4A27">
        <w:rPr>
          <w:rFonts w:asciiTheme="minorHAnsi" w:hAnsiTheme="minorHAnsi"/>
          <w:color w:val="333333"/>
          <w:sz w:val="22"/>
          <w:szCs w:val="22"/>
          <w:lang w:val="fr-BE" w:eastAsia="nl-BE"/>
        </w:rPr>
        <w:t>, al. 3, CIR 92.</w:t>
      </w:r>
    </w:p>
    <w:p w:rsidR="00EB4A27" w:rsidRDefault="00EB4A27" w:rsidP="00EB4A27">
      <w:pPr>
        <w:outlineLvl w:val="0"/>
        <w:rPr>
          <w:rFonts w:asciiTheme="minorHAnsi" w:hAnsiTheme="minorHAnsi"/>
          <w:b/>
          <w:bCs/>
          <w:color w:val="333333"/>
          <w:kern w:val="36"/>
          <w:sz w:val="22"/>
          <w:szCs w:val="22"/>
          <w:lang w:val="fr-BE" w:eastAsia="nl-BE"/>
        </w:rPr>
      </w:pPr>
    </w:p>
    <w:p w:rsidR="00EB4A27" w:rsidRPr="00EB4A27" w:rsidRDefault="00EB4A27" w:rsidP="00EB4A27">
      <w:pPr>
        <w:outlineLvl w:val="0"/>
        <w:rPr>
          <w:rFonts w:asciiTheme="minorHAnsi" w:hAnsiTheme="minorHAnsi"/>
          <w:b/>
          <w:bCs/>
          <w:color w:val="333333"/>
          <w:kern w:val="36"/>
          <w:sz w:val="22"/>
          <w:szCs w:val="22"/>
          <w:lang w:val="fr-BE" w:eastAsia="nl-BE"/>
        </w:rPr>
      </w:pPr>
      <w:r w:rsidRPr="00EB4A27">
        <w:rPr>
          <w:rFonts w:asciiTheme="minorHAnsi" w:hAnsiTheme="minorHAnsi"/>
          <w:b/>
          <w:bCs/>
          <w:color w:val="333333"/>
          <w:kern w:val="36"/>
          <w:sz w:val="22"/>
          <w:szCs w:val="22"/>
          <w:lang w:val="fr-BE" w:eastAsia="nl-BE"/>
        </w:rPr>
        <w:t>DISPOSITIONS LEGALES</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3. L’article 275</w:t>
      </w:r>
      <w:r w:rsidRPr="00EB4A27">
        <w:rPr>
          <w:rFonts w:asciiTheme="minorHAnsi" w:hAnsiTheme="minorHAnsi"/>
          <w:color w:val="333333"/>
          <w:sz w:val="22"/>
          <w:szCs w:val="22"/>
          <w:vertAlign w:val="superscript"/>
          <w:lang w:val="fr-BE" w:eastAsia="nl-BE"/>
        </w:rPr>
        <w:t>3</w:t>
      </w:r>
      <w:r w:rsidRPr="00EB4A27">
        <w:rPr>
          <w:rFonts w:asciiTheme="minorHAnsi" w:hAnsiTheme="minorHAnsi"/>
          <w:color w:val="333333"/>
          <w:sz w:val="22"/>
          <w:szCs w:val="22"/>
          <w:lang w:val="fr-BE" w:eastAsia="nl-BE"/>
        </w:rPr>
        <w:t xml:space="preserve">, CIR 92 qui est joint en annexe 1. Le point III de l’annexe </w:t>
      </w:r>
      <w:proofErr w:type="spellStart"/>
      <w:r w:rsidRPr="00EB4A27">
        <w:rPr>
          <w:rFonts w:asciiTheme="minorHAnsi" w:hAnsiTheme="minorHAnsi"/>
          <w:color w:val="333333"/>
          <w:sz w:val="22"/>
          <w:szCs w:val="22"/>
          <w:lang w:val="fr-BE" w:eastAsia="nl-BE"/>
        </w:rPr>
        <w:t>III</w:t>
      </w:r>
      <w:r w:rsidRPr="00EB4A27">
        <w:rPr>
          <w:rFonts w:asciiTheme="minorHAnsi" w:hAnsiTheme="minorHAnsi"/>
          <w:i/>
          <w:iCs/>
          <w:color w:val="333333"/>
          <w:sz w:val="22"/>
          <w:szCs w:val="22"/>
          <w:lang w:val="fr-BE" w:eastAsia="nl-BE"/>
        </w:rPr>
        <w:t>ter</w:t>
      </w:r>
      <w:proofErr w:type="spellEnd"/>
      <w:r w:rsidRPr="00EB4A27">
        <w:rPr>
          <w:rFonts w:asciiTheme="minorHAnsi" w:hAnsiTheme="minorHAnsi"/>
          <w:i/>
          <w:iCs/>
          <w:color w:val="333333"/>
          <w:sz w:val="22"/>
          <w:szCs w:val="22"/>
          <w:lang w:val="fr-BE" w:eastAsia="nl-BE"/>
        </w:rPr>
        <w:t>,</w:t>
      </w:r>
      <w:r w:rsidRPr="00EB4A27">
        <w:rPr>
          <w:rFonts w:asciiTheme="minorHAnsi" w:hAnsiTheme="minorHAnsi"/>
          <w:color w:val="333333"/>
          <w:sz w:val="22"/>
          <w:szCs w:val="22"/>
          <w:lang w:val="fr-BE" w:eastAsia="nl-BE"/>
        </w:rPr>
        <w:t xml:space="preserve"> AR/CIR 92 qui est joint en annexe 2.</w:t>
      </w:r>
    </w:p>
    <w:p w:rsidR="00EB4A27" w:rsidRDefault="00EB4A27" w:rsidP="00EB4A27">
      <w:pPr>
        <w:outlineLvl w:val="0"/>
        <w:rPr>
          <w:rFonts w:asciiTheme="minorHAnsi" w:hAnsiTheme="minorHAnsi"/>
          <w:b/>
          <w:bCs/>
          <w:color w:val="333333"/>
          <w:kern w:val="36"/>
          <w:sz w:val="22"/>
          <w:szCs w:val="22"/>
          <w:lang w:val="fr-BE" w:eastAsia="nl-BE"/>
        </w:rPr>
      </w:pPr>
    </w:p>
    <w:p w:rsidR="00EB4A27" w:rsidRPr="00EB4A27" w:rsidRDefault="00EB4A27" w:rsidP="00EB4A27">
      <w:pPr>
        <w:outlineLvl w:val="0"/>
        <w:rPr>
          <w:rFonts w:asciiTheme="minorHAnsi" w:hAnsiTheme="minorHAnsi"/>
          <w:b/>
          <w:bCs/>
          <w:color w:val="333333"/>
          <w:kern w:val="36"/>
          <w:sz w:val="22"/>
          <w:szCs w:val="22"/>
          <w:lang w:val="fr-BE" w:eastAsia="nl-BE"/>
        </w:rPr>
      </w:pPr>
      <w:r w:rsidRPr="00EB4A27">
        <w:rPr>
          <w:rFonts w:asciiTheme="minorHAnsi" w:hAnsiTheme="minorHAnsi"/>
          <w:b/>
          <w:bCs/>
          <w:color w:val="333333"/>
          <w:kern w:val="36"/>
          <w:sz w:val="22"/>
          <w:szCs w:val="22"/>
          <w:lang w:val="fr-BE" w:eastAsia="nl-BE"/>
        </w:rPr>
        <w:t>COMMENTAIRE SUR L’ARTICLE 275/3 CIR 92</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4. L’article 275</w:t>
      </w:r>
      <w:r w:rsidRPr="00EB4A27">
        <w:rPr>
          <w:rFonts w:asciiTheme="minorHAnsi" w:hAnsiTheme="minorHAnsi"/>
          <w:color w:val="333333"/>
          <w:sz w:val="22"/>
          <w:szCs w:val="22"/>
          <w:vertAlign w:val="superscript"/>
          <w:lang w:val="fr-BE" w:eastAsia="nl-BE"/>
        </w:rPr>
        <w:t>3</w:t>
      </w:r>
      <w:r w:rsidRPr="00EB4A27">
        <w:rPr>
          <w:rFonts w:asciiTheme="minorHAnsi" w:hAnsiTheme="minorHAnsi"/>
          <w:color w:val="333333"/>
          <w:sz w:val="22"/>
          <w:szCs w:val="22"/>
          <w:lang w:val="fr-BE" w:eastAsia="nl-BE"/>
        </w:rPr>
        <w:t>, CIR 92 comprend cinq différentes dispenses partielles de versement du précompte professionnel, réparties en fonction des catégories de débiteurs du précompte professionnel :</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 xml:space="preserve">a) les universités, les hautes écoles, le « </w:t>
      </w:r>
      <w:proofErr w:type="spellStart"/>
      <w:r w:rsidRPr="00EB4A27">
        <w:rPr>
          <w:rFonts w:asciiTheme="minorHAnsi" w:hAnsiTheme="minorHAnsi"/>
          <w:color w:val="333333"/>
          <w:sz w:val="22"/>
          <w:szCs w:val="22"/>
          <w:lang w:val="fr-BE" w:eastAsia="nl-BE"/>
        </w:rPr>
        <w:t>Federaal</w:t>
      </w:r>
      <w:proofErr w:type="spellEnd"/>
      <w:r w:rsidRPr="00EB4A27">
        <w:rPr>
          <w:rFonts w:asciiTheme="minorHAnsi" w:hAnsiTheme="minorHAnsi"/>
          <w:color w:val="333333"/>
          <w:sz w:val="22"/>
          <w:szCs w:val="22"/>
          <w:lang w:val="fr-BE" w:eastAsia="nl-BE"/>
        </w:rPr>
        <w:t xml:space="preserve"> Fonds </w:t>
      </w:r>
      <w:proofErr w:type="spellStart"/>
      <w:r w:rsidRPr="00EB4A27">
        <w:rPr>
          <w:rFonts w:asciiTheme="minorHAnsi" w:hAnsiTheme="minorHAnsi"/>
          <w:color w:val="333333"/>
          <w:sz w:val="22"/>
          <w:szCs w:val="22"/>
          <w:lang w:val="fr-BE" w:eastAsia="nl-BE"/>
        </w:rPr>
        <w:t>voor</w:t>
      </w:r>
      <w:proofErr w:type="spellEnd"/>
      <w:r w:rsidRPr="00EB4A27">
        <w:rPr>
          <w:rFonts w:asciiTheme="minorHAnsi" w:hAnsiTheme="minorHAnsi"/>
          <w:color w:val="333333"/>
          <w:sz w:val="22"/>
          <w:szCs w:val="22"/>
          <w:lang w:val="fr-BE" w:eastAsia="nl-BE"/>
        </w:rPr>
        <w:t xml:space="preserve"> </w:t>
      </w:r>
      <w:proofErr w:type="spellStart"/>
      <w:r w:rsidRPr="00EB4A27">
        <w:rPr>
          <w:rFonts w:asciiTheme="minorHAnsi" w:hAnsiTheme="minorHAnsi"/>
          <w:color w:val="333333"/>
          <w:sz w:val="22"/>
          <w:szCs w:val="22"/>
          <w:lang w:val="fr-BE" w:eastAsia="nl-BE"/>
        </w:rPr>
        <w:t>Wetenschappelijk</w:t>
      </w:r>
      <w:proofErr w:type="spellEnd"/>
      <w:r w:rsidRPr="00EB4A27">
        <w:rPr>
          <w:rFonts w:asciiTheme="minorHAnsi" w:hAnsiTheme="minorHAnsi"/>
          <w:color w:val="333333"/>
          <w:sz w:val="22"/>
          <w:szCs w:val="22"/>
          <w:lang w:val="fr-BE" w:eastAsia="nl-BE"/>
        </w:rPr>
        <w:t xml:space="preserve"> </w:t>
      </w:r>
      <w:proofErr w:type="spellStart"/>
      <w:r w:rsidRPr="00EB4A27">
        <w:rPr>
          <w:rFonts w:asciiTheme="minorHAnsi" w:hAnsiTheme="minorHAnsi"/>
          <w:color w:val="333333"/>
          <w:sz w:val="22"/>
          <w:szCs w:val="22"/>
          <w:lang w:val="fr-BE" w:eastAsia="nl-BE"/>
        </w:rPr>
        <w:t>Onderzoek</w:t>
      </w:r>
      <w:proofErr w:type="spellEnd"/>
      <w:r w:rsidRPr="00EB4A27">
        <w:rPr>
          <w:rFonts w:asciiTheme="minorHAnsi" w:hAnsiTheme="minorHAnsi"/>
          <w:color w:val="333333"/>
          <w:sz w:val="22"/>
          <w:szCs w:val="22"/>
          <w:lang w:val="fr-BE" w:eastAsia="nl-BE"/>
        </w:rPr>
        <w:t xml:space="preserve"> - le Fonds fédéral de la Recherche scientifique - FFWO/FFRS », le « Fonds </w:t>
      </w:r>
      <w:proofErr w:type="spellStart"/>
      <w:r w:rsidRPr="00EB4A27">
        <w:rPr>
          <w:rFonts w:asciiTheme="minorHAnsi" w:hAnsiTheme="minorHAnsi"/>
          <w:color w:val="333333"/>
          <w:sz w:val="22"/>
          <w:szCs w:val="22"/>
          <w:lang w:val="fr-BE" w:eastAsia="nl-BE"/>
        </w:rPr>
        <w:t>voor</w:t>
      </w:r>
      <w:proofErr w:type="spellEnd"/>
      <w:r w:rsidRPr="00EB4A27">
        <w:rPr>
          <w:rFonts w:asciiTheme="minorHAnsi" w:hAnsiTheme="minorHAnsi"/>
          <w:color w:val="333333"/>
          <w:sz w:val="22"/>
          <w:szCs w:val="22"/>
          <w:lang w:val="fr-BE" w:eastAsia="nl-BE"/>
        </w:rPr>
        <w:t xml:space="preserve"> </w:t>
      </w:r>
      <w:proofErr w:type="spellStart"/>
      <w:r w:rsidRPr="00EB4A27">
        <w:rPr>
          <w:rFonts w:asciiTheme="minorHAnsi" w:hAnsiTheme="minorHAnsi"/>
          <w:color w:val="333333"/>
          <w:sz w:val="22"/>
          <w:szCs w:val="22"/>
          <w:lang w:val="fr-BE" w:eastAsia="nl-BE"/>
        </w:rPr>
        <w:t>Wetenschappelijk</w:t>
      </w:r>
      <w:proofErr w:type="spellEnd"/>
      <w:r w:rsidRPr="00EB4A27">
        <w:rPr>
          <w:rFonts w:asciiTheme="minorHAnsi" w:hAnsiTheme="minorHAnsi"/>
          <w:color w:val="333333"/>
          <w:sz w:val="22"/>
          <w:szCs w:val="22"/>
          <w:lang w:val="fr-BE" w:eastAsia="nl-BE"/>
        </w:rPr>
        <w:t xml:space="preserve"> </w:t>
      </w:r>
      <w:proofErr w:type="spellStart"/>
      <w:r w:rsidRPr="00EB4A27">
        <w:rPr>
          <w:rFonts w:asciiTheme="minorHAnsi" w:hAnsiTheme="minorHAnsi"/>
          <w:color w:val="333333"/>
          <w:sz w:val="22"/>
          <w:szCs w:val="22"/>
          <w:lang w:val="fr-BE" w:eastAsia="nl-BE"/>
        </w:rPr>
        <w:t>Onderzoek</w:t>
      </w:r>
      <w:proofErr w:type="spellEnd"/>
      <w:r w:rsidRPr="00EB4A27">
        <w:rPr>
          <w:rFonts w:asciiTheme="minorHAnsi" w:hAnsiTheme="minorHAnsi"/>
          <w:color w:val="333333"/>
          <w:sz w:val="22"/>
          <w:szCs w:val="22"/>
          <w:lang w:val="fr-BE" w:eastAsia="nl-BE"/>
        </w:rPr>
        <w:t xml:space="preserve"> - </w:t>
      </w:r>
      <w:proofErr w:type="spellStart"/>
      <w:r w:rsidRPr="00EB4A27">
        <w:rPr>
          <w:rFonts w:asciiTheme="minorHAnsi" w:hAnsiTheme="minorHAnsi"/>
          <w:color w:val="333333"/>
          <w:sz w:val="22"/>
          <w:szCs w:val="22"/>
          <w:lang w:val="fr-BE" w:eastAsia="nl-BE"/>
        </w:rPr>
        <w:t>Vlaanderen</w:t>
      </w:r>
      <w:proofErr w:type="spellEnd"/>
      <w:r w:rsidRPr="00EB4A27">
        <w:rPr>
          <w:rFonts w:asciiTheme="minorHAnsi" w:hAnsiTheme="minorHAnsi"/>
          <w:color w:val="333333"/>
          <w:sz w:val="22"/>
          <w:szCs w:val="22"/>
          <w:lang w:val="fr-BE" w:eastAsia="nl-BE"/>
        </w:rPr>
        <w:t xml:space="preserve"> – FWO » et le « Fonds de la Recherche scientifique - FNRS - FRS-FNRS » (article 275</w:t>
      </w:r>
      <w:r w:rsidRPr="00EB4A27">
        <w:rPr>
          <w:rFonts w:asciiTheme="minorHAnsi" w:hAnsiTheme="minorHAnsi"/>
          <w:color w:val="333333"/>
          <w:sz w:val="22"/>
          <w:szCs w:val="22"/>
          <w:vertAlign w:val="superscript"/>
          <w:lang w:val="fr-BE" w:eastAsia="nl-BE"/>
        </w:rPr>
        <w:t>3</w:t>
      </w:r>
      <w:r w:rsidRPr="00EB4A27">
        <w:rPr>
          <w:rFonts w:asciiTheme="minorHAnsi" w:hAnsiTheme="minorHAnsi"/>
          <w:color w:val="333333"/>
          <w:sz w:val="22"/>
          <w:szCs w:val="22"/>
          <w:lang w:val="fr-BE" w:eastAsia="nl-BE"/>
        </w:rPr>
        <w:t>, § 1</w:t>
      </w:r>
      <w:r w:rsidRPr="00EB4A27">
        <w:rPr>
          <w:rFonts w:asciiTheme="minorHAnsi" w:hAnsiTheme="minorHAnsi"/>
          <w:color w:val="333333"/>
          <w:sz w:val="22"/>
          <w:szCs w:val="22"/>
          <w:vertAlign w:val="superscript"/>
          <w:lang w:val="fr-BE" w:eastAsia="nl-BE"/>
        </w:rPr>
        <w:t>er</w:t>
      </w:r>
      <w:r w:rsidRPr="00EB4A27">
        <w:rPr>
          <w:rFonts w:asciiTheme="minorHAnsi" w:hAnsiTheme="minorHAnsi"/>
          <w:color w:val="333333"/>
          <w:sz w:val="22"/>
          <w:szCs w:val="22"/>
          <w:lang w:val="fr-BE" w:eastAsia="nl-BE"/>
        </w:rPr>
        <w:t>, al. 1</w:t>
      </w:r>
      <w:r w:rsidRPr="00EB4A27">
        <w:rPr>
          <w:rFonts w:asciiTheme="minorHAnsi" w:hAnsiTheme="minorHAnsi"/>
          <w:color w:val="333333"/>
          <w:sz w:val="22"/>
          <w:szCs w:val="22"/>
          <w:vertAlign w:val="superscript"/>
          <w:lang w:val="fr-BE" w:eastAsia="nl-BE"/>
        </w:rPr>
        <w:t>er</w:t>
      </w:r>
      <w:r w:rsidRPr="00EB4A27">
        <w:rPr>
          <w:rFonts w:asciiTheme="minorHAnsi" w:hAnsiTheme="minorHAnsi"/>
          <w:color w:val="333333"/>
          <w:sz w:val="22"/>
          <w:szCs w:val="22"/>
          <w:lang w:val="fr-BE" w:eastAsia="nl-BE"/>
        </w:rPr>
        <w:t>, CIR 92);</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b) les institutions scientifiques agréées (article 275</w:t>
      </w:r>
      <w:r w:rsidRPr="00EB4A27">
        <w:rPr>
          <w:rFonts w:asciiTheme="minorHAnsi" w:hAnsiTheme="minorHAnsi"/>
          <w:color w:val="333333"/>
          <w:sz w:val="22"/>
          <w:szCs w:val="22"/>
          <w:vertAlign w:val="superscript"/>
          <w:lang w:val="fr-BE" w:eastAsia="nl-BE"/>
        </w:rPr>
        <w:t>3</w:t>
      </w:r>
      <w:r w:rsidRPr="00EB4A27">
        <w:rPr>
          <w:rFonts w:asciiTheme="minorHAnsi" w:hAnsiTheme="minorHAnsi"/>
          <w:color w:val="333333"/>
          <w:sz w:val="22"/>
          <w:szCs w:val="22"/>
          <w:lang w:val="fr-BE" w:eastAsia="nl-BE"/>
        </w:rPr>
        <w:t>, § 1</w:t>
      </w:r>
      <w:r w:rsidRPr="00EB4A27">
        <w:rPr>
          <w:rFonts w:asciiTheme="minorHAnsi" w:hAnsiTheme="minorHAnsi"/>
          <w:color w:val="333333"/>
          <w:sz w:val="22"/>
          <w:szCs w:val="22"/>
          <w:vertAlign w:val="superscript"/>
          <w:lang w:val="fr-BE" w:eastAsia="nl-BE"/>
        </w:rPr>
        <w:t>er</w:t>
      </w:r>
      <w:r w:rsidRPr="00EB4A27">
        <w:rPr>
          <w:rFonts w:asciiTheme="minorHAnsi" w:hAnsiTheme="minorHAnsi"/>
          <w:color w:val="333333"/>
          <w:sz w:val="22"/>
          <w:szCs w:val="22"/>
          <w:lang w:val="fr-BE" w:eastAsia="nl-BE"/>
        </w:rPr>
        <w:t>, al. 2, CIR 92);</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c) les entreprises qui paient ou attribuent des rémunérations à des chercheurs affectés à des projets ou programmes de recherche ou de développement menés en exécution de conventions de partenariat conclues avec des universités, des hautes écoles ou des institutions scientifiques agréées (article 275</w:t>
      </w:r>
      <w:r w:rsidRPr="00EB4A27">
        <w:rPr>
          <w:rFonts w:asciiTheme="minorHAnsi" w:hAnsiTheme="minorHAnsi"/>
          <w:color w:val="333333"/>
          <w:sz w:val="22"/>
          <w:szCs w:val="22"/>
          <w:vertAlign w:val="superscript"/>
          <w:lang w:val="fr-BE" w:eastAsia="nl-BE"/>
        </w:rPr>
        <w:t>3</w:t>
      </w:r>
      <w:r w:rsidRPr="00EB4A27">
        <w:rPr>
          <w:rFonts w:asciiTheme="minorHAnsi" w:hAnsiTheme="minorHAnsi"/>
          <w:color w:val="333333"/>
          <w:sz w:val="22"/>
          <w:szCs w:val="22"/>
          <w:lang w:val="fr-BE" w:eastAsia="nl-BE"/>
        </w:rPr>
        <w:t>, § 1</w:t>
      </w:r>
      <w:r w:rsidRPr="00EB4A27">
        <w:rPr>
          <w:rFonts w:asciiTheme="minorHAnsi" w:hAnsiTheme="minorHAnsi"/>
          <w:color w:val="333333"/>
          <w:sz w:val="22"/>
          <w:szCs w:val="22"/>
          <w:vertAlign w:val="superscript"/>
          <w:lang w:val="fr-BE" w:eastAsia="nl-BE"/>
        </w:rPr>
        <w:t>er</w:t>
      </w:r>
      <w:r w:rsidRPr="00EB4A27">
        <w:rPr>
          <w:rFonts w:asciiTheme="minorHAnsi" w:hAnsiTheme="minorHAnsi"/>
          <w:color w:val="333333"/>
          <w:sz w:val="22"/>
          <w:szCs w:val="22"/>
          <w:lang w:val="fr-BE" w:eastAsia="nl-BE"/>
        </w:rPr>
        <w:t>, al. 3, 1°, CIR 92);</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 xml:space="preserve">d) les Young </w:t>
      </w:r>
      <w:proofErr w:type="spellStart"/>
      <w:r w:rsidRPr="00EB4A27">
        <w:rPr>
          <w:rFonts w:asciiTheme="minorHAnsi" w:hAnsiTheme="minorHAnsi"/>
          <w:color w:val="333333"/>
          <w:sz w:val="22"/>
          <w:szCs w:val="22"/>
          <w:lang w:val="fr-BE" w:eastAsia="nl-BE"/>
        </w:rPr>
        <w:t>Innovative</w:t>
      </w:r>
      <w:proofErr w:type="spellEnd"/>
      <w:r w:rsidRPr="00EB4A27">
        <w:rPr>
          <w:rFonts w:asciiTheme="minorHAnsi" w:hAnsiTheme="minorHAnsi"/>
          <w:color w:val="333333"/>
          <w:sz w:val="22"/>
          <w:szCs w:val="22"/>
          <w:lang w:val="fr-BE" w:eastAsia="nl-BE"/>
        </w:rPr>
        <w:t xml:space="preserve"> </w:t>
      </w:r>
      <w:proofErr w:type="spellStart"/>
      <w:r w:rsidRPr="00EB4A27">
        <w:rPr>
          <w:rFonts w:asciiTheme="minorHAnsi" w:hAnsiTheme="minorHAnsi"/>
          <w:color w:val="333333"/>
          <w:sz w:val="22"/>
          <w:szCs w:val="22"/>
          <w:lang w:val="fr-BE" w:eastAsia="nl-BE"/>
        </w:rPr>
        <w:t>Companies</w:t>
      </w:r>
      <w:proofErr w:type="spellEnd"/>
      <w:r w:rsidRPr="00EB4A27">
        <w:rPr>
          <w:rFonts w:asciiTheme="minorHAnsi" w:hAnsiTheme="minorHAnsi"/>
          <w:color w:val="333333"/>
          <w:sz w:val="22"/>
          <w:szCs w:val="22"/>
          <w:lang w:val="fr-BE" w:eastAsia="nl-BE"/>
        </w:rPr>
        <w:t xml:space="preserve"> (article 275</w:t>
      </w:r>
      <w:r w:rsidRPr="00EB4A27">
        <w:rPr>
          <w:rFonts w:asciiTheme="minorHAnsi" w:hAnsiTheme="minorHAnsi"/>
          <w:color w:val="333333"/>
          <w:sz w:val="22"/>
          <w:szCs w:val="22"/>
          <w:vertAlign w:val="superscript"/>
          <w:lang w:val="fr-BE" w:eastAsia="nl-BE"/>
        </w:rPr>
        <w:t>3</w:t>
      </w:r>
      <w:r w:rsidRPr="00EB4A27">
        <w:rPr>
          <w:rFonts w:asciiTheme="minorHAnsi" w:hAnsiTheme="minorHAnsi"/>
          <w:color w:val="333333"/>
          <w:sz w:val="22"/>
          <w:szCs w:val="22"/>
          <w:lang w:val="fr-BE" w:eastAsia="nl-BE"/>
        </w:rPr>
        <w:t>, § 1</w:t>
      </w:r>
      <w:r w:rsidRPr="00EB4A27">
        <w:rPr>
          <w:rFonts w:asciiTheme="minorHAnsi" w:hAnsiTheme="minorHAnsi"/>
          <w:color w:val="333333"/>
          <w:sz w:val="22"/>
          <w:szCs w:val="22"/>
          <w:vertAlign w:val="superscript"/>
          <w:lang w:val="fr-BE" w:eastAsia="nl-BE"/>
        </w:rPr>
        <w:t>er</w:t>
      </w:r>
      <w:r w:rsidRPr="00EB4A27">
        <w:rPr>
          <w:rFonts w:asciiTheme="minorHAnsi" w:hAnsiTheme="minorHAnsi"/>
          <w:color w:val="333333"/>
          <w:sz w:val="22"/>
          <w:szCs w:val="22"/>
          <w:lang w:val="fr-BE" w:eastAsia="nl-BE"/>
        </w:rPr>
        <w:t>, al. 3, 2°, CIR 92);</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e) les entreprises qui paient ou attribuent des rémunérations à des chercheurs qui sont engagés dans des projets ou programmes de recherche ou de développement et qui détiennent un diplôme spécifique (article 275</w:t>
      </w:r>
      <w:r w:rsidRPr="00EB4A27">
        <w:rPr>
          <w:rFonts w:asciiTheme="minorHAnsi" w:hAnsiTheme="minorHAnsi"/>
          <w:color w:val="333333"/>
          <w:sz w:val="22"/>
          <w:szCs w:val="22"/>
          <w:vertAlign w:val="superscript"/>
          <w:lang w:val="fr-BE" w:eastAsia="nl-BE"/>
        </w:rPr>
        <w:t>3</w:t>
      </w:r>
      <w:r w:rsidRPr="00EB4A27">
        <w:rPr>
          <w:rFonts w:asciiTheme="minorHAnsi" w:hAnsiTheme="minorHAnsi"/>
          <w:color w:val="333333"/>
          <w:sz w:val="22"/>
          <w:szCs w:val="22"/>
          <w:lang w:val="fr-BE" w:eastAsia="nl-BE"/>
        </w:rPr>
        <w:t>, § 1</w:t>
      </w:r>
      <w:r w:rsidRPr="00EB4A27">
        <w:rPr>
          <w:rFonts w:asciiTheme="minorHAnsi" w:hAnsiTheme="minorHAnsi"/>
          <w:color w:val="333333"/>
          <w:sz w:val="22"/>
          <w:szCs w:val="22"/>
          <w:vertAlign w:val="superscript"/>
          <w:lang w:val="fr-BE" w:eastAsia="nl-BE"/>
        </w:rPr>
        <w:t>er</w:t>
      </w:r>
      <w:r w:rsidRPr="00EB4A27">
        <w:rPr>
          <w:rFonts w:asciiTheme="minorHAnsi" w:hAnsiTheme="minorHAnsi"/>
          <w:color w:val="333333"/>
          <w:sz w:val="22"/>
          <w:szCs w:val="22"/>
          <w:lang w:val="fr-BE" w:eastAsia="nl-BE"/>
        </w:rPr>
        <w:t>, al. 3, 3°, CIR 92).</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5. Chaque catégorie de débiteurs  doit remplir des conditions spécifiques pour l’application de la dispense partielle de versement du précompte professionnel. Dans la présente circulaire, les chercheurs et les rémunérations visés sont analysés, par catégorie de débiteur, de manière approfondie.</w:t>
      </w:r>
    </w:p>
    <w:p w:rsidR="00EB4A27" w:rsidRPr="00EB4A27" w:rsidRDefault="00EB4A27" w:rsidP="00EB4A27">
      <w:pPr>
        <w:outlineLvl w:val="1"/>
        <w:rPr>
          <w:rFonts w:asciiTheme="minorHAnsi" w:hAnsiTheme="minorHAnsi"/>
          <w:b/>
          <w:bCs/>
          <w:color w:val="333333"/>
          <w:sz w:val="28"/>
          <w:szCs w:val="28"/>
          <w:lang w:val="fr-BE" w:eastAsia="nl-BE"/>
        </w:rPr>
      </w:pPr>
      <w:r w:rsidRPr="00EB4A27">
        <w:rPr>
          <w:rFonts w:asciiTheme="minorHAnsi" w:hAnsiTheme="minorHAnsi"/>
          <w:b/>
          <w:bCs/>
          <w:color w:val="333333"/>
          <w:sz w:val="28"/>
          <w:szCs w:val="28"/>
          <w:lang w:val="fr-BE" w:eastAsia="nl-BE"/>
        </w:rPr>
        <w:lastRenderedPageBreak/>
        <w:t>Universités, hautes écoles, FFWO/FFRS, FWO et FNRS – FRS – FNRS</w:t>
      </w:r>
    </w:p>
    <w:p w:rsidR="00EB4A27" w:rsidRPr="00EB4A27" w:rsidRDefault="00EB4A27" w:rsidP="00EB4A27">
      <w:pPr>
        <w:outlineLvl w:val="2"/>
        <w:rPr>
          <w:rFonts w:asciiTheme="minorHAnsi" w:hAnsiTheme="minorHAnsi"/>
          <w:b/>
          <w:bCs/>
          <w:color w:val="333333"/>
          <w:sz w:val="18"/>
          <w:szCs w:val="18"/>
          <w:lang w:val="fr-BE" w:eastAsia="nl-BE"/>
        </w:rPr>
      </w:pPr>
    </w:p>
    <w:p w:rsidR="00EB4A27" w:rsidRPr="00EB4A27" w:rsidRDefault="00EB4A27" w:rsidP="00EB4A27">
      <w:pPr>
        <w:outlineLvl w:val="2"/>
        <w:rPr>
          <w:rFonts w:asciiTheme="minorHAnsi" w:hAnsiTheme="minorHAnsi"/>
          <w:b/>
          <w:bCs/>
          <w:color w:val="333333"/>
          <w:sz w:val="22"/>
          <w:szCs w:val="22"/>
          <w:lang w:val="fr-BE" w:eastAsia="nl-BE"/>
        </w:rPr>
      </w:pPr>
      <w:r w:rsidRPr="00EB4A27">
        <w:rPr>
          <w:rFonts w:asciiTheme="minorHAnsi" w:hAnsiTheme="minorHAnsi"/>
          <w:b/>
          <w:bCs/>
          <w:color w:val="333333"/>
          <w:sz w:val="22"/>
          <w:szCs w:val="22"/>
          <w:lang w:val="fr-BE" w:eastAsia="nl-BE"/>
        </w:rPr>
        <w:t>Conditions liées au diplôme</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6. Il ressort de l’article 275</w:t>
      </w:r>
      <w:r w:rsidRPr="00EB4A27">
        <w:rPr>
          <w:rFonts w:asciiTheme="minorHAnsi" w:hAnsiTheme="minorHAnsi"/>
          <w:color w:val="333333"/>
          <w:sz w:val="22"/>
          <w:szCs w:val="22"/>
          <w:vertAlign w:val="superscript"/>
          <w:lang w:val="fr-BE" w:eastAsia="nl-BE"/>
        </w:rPr>
        <w:t>3</w:t>
      </w:r>
      <w:r w:rsidRPr="00EB4A27">
        <w:rPr>
          <w:rFonts w:asciiTheme="minorHAnsi" w:hAnsiTheme="minorHAnsi"/>
          <w:color w:val="333333"/>
          <w:sz w:val="22"/>
          <w:szCs w:val="22"/>
          <w:lang w:val="fr-BE" w:eastAsia="nl-BE"/>
        </w:rPr>
        <w:t>, § 1</w:t>
      </w:r>
      <w:r w:rsidRPr="00EB4A27">
        <w:rPr>
          <w:rFonts w:asciiTheme="minorHAnsi" w:hAnsiTheme="minorHAnsi"/>
          <w:color w:val="333333"/>
          <w:sz w:val="22"/>
          <w:szCs w:val="22"/>
          <w:vertAlign w:val="superscript"/>
          <w:lang w:val="fr-BE" w:eastAsia="nl-BE"/>
        </w:rPr>
        <w:t>er</w:t>
      </w:r>
      <w:r w:rsidRPr="00EB4A27">
        <w:rPr>
          <w:rFonts w:asciiTheme="minorHAnsi" w:hAnsiTheme="minorHAnsi"/>
          <w:color w:val="333333"/>
          <w:sz w:val="22"/>
          <w:szCs w:val="22"/>
          <w:lang w:val="fr-BE" w:eastAsia="nl-BE"/>
        </w:rPr>
        <w:t>, al. 1</w:t>
      </w:r>
      <w:r w:rsidRPr="00EB4A27">
        <w:rPr>
          <w:rFonts w:asciiTheme="minorHAnsi" w:hAnsiTheme="minorHAnsi"/>
          <w:color w:val="333333"/>
          <w:sz w:val="22"/>
          <w:szCs w:val="22"/>
          <w:vertAlign w:val="superscript"/>
          <w:lang w:val="fr-BE" w:eastAsia="nl-BE"/>
        </w:rPr>
        <w:t>er</w:t>
      </w:r>
      <w:r w:rsidRPr="00EB4A27">
        <w:rPr>
          <w:rFonts w:asciiTheme="minorHAnsi" w:hAnsiTheme="minorHAnsi"/>
          <w:color w:val="333333"/>
          <w:sz w:val="22"/>
          <w:szCs w:val="22"/>
          <w:lang w:val="fr-BE" w:eastAsia="nl-BE"/>
        </w:rPr>
        <w:t>, CIR 92 que la dispense partielle de versement du précompte professionnel s’applique aux rémunérations des :</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     chercheurs assistants rémunérés par des universités ou des hautes écoles;</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 xml:space="preserve">-     chercheurs postdoctoraux rémunérés par le </w:t>
      </w:r>
      <w:r>
        <w:rPr>
          <w:rFonts w:asciiTheme="minorHAnsi" w:hAnsiTheme="minorHAnsi"/>
          <w:color w:val="333333"/>
          <w:sz w:val="22"/>
          <w:szCs w:val="22"/>
          <w:lang w:val="fr-BE" w:eastAsia="nl-BE"/>
        </w:rPr>
        <w:t>'</w:t>
      </w:r>
      <w:proofErr w:type="spellStart"/>
      <w:r w:rsidRPr="00EB4A27">
        <w:rPr>
          <w:rFonts w:asciiTheme="minorHAnsi" w:hAnsiTheme="minorHAnsi"/>
          <w:color w:val="333333"/>
          <w:sz w:val="22"/>
          <w:szCs w:val="22"/>
          <w:lang w:val="fr-BE" w:eastAsia="nl-BE"/>
        </w:rPr>
        <w:t>Federaal</w:t>
      </w:r>
      <w:proofErr w:type="spellEnd"/>
      <w:r w:rsidRPr="00EB4A27">
        <w:rPr>
          <w:rFonts w:asciiTheme="minorHAnsi" w:hAnsiTheme="minorHAnsi"/>
          <w:color w:val="333333"/>
          <w:sz w:val="22"/>
          <w:szCs w:val="22"/>
          <w:lang w:val="fr-BE" w:eastAsia="nl-BE"/>
        </w:rPr>
        <w:t xml:space="preserve"> Fonds </w:t>
      </w:r>
      <w:proofErr w:type="spellStart"/>
      <w:r w:rsidRPr="00EB4A27">
        <w:rPr>
          <w:rFonts w:asciiTheme="minorHAnsi" w:hAnsiTheme="minorHAnsi"/>
          <w:color w:val="333333"/>
          <w:sz w:val="22"/>
          <w:szCs w:val="22"/>
          <w:lang w:val="fr-BE" w:eastAsia="nl-BE"/>
        </w:rPr>
        <w:t>voor</w:t>
      </w:r>
      <w:proofErr w:type="spellEnd"/>
      <w:r w:rsidRPr="00EB4A27">
        <w:rPr>
          <w:rFonts w:asciiTheme="minorHAnsi" w:hAnsiTheme="minorHAnsi"/>
          <w:color w:val="333333"/>
          <w:sz w:val="22"/>
          <w:szCs w:val="22"/>
          <w:lang w:val="fr-BE" w:eastAsia="nl-BE"/>
        </w:rPr>
        <w:t xml:space="preserve"> </w:t>
      </w:r>
      <w:proofErr w:type="spellStart"/>
      <w:r w:rsidRPr="00EB4A27">
        <w:rPr>
          <w:rFonts w:asciiTheme="minorHAnsi" w:hAnsiTheme="minorHAnsi"/>
          <w:color w:val="333333"/>
          <w:sz w:val="22"/>
          <w:szCs w:val="22"/>
          <w:lang w:val="fr-BE" w:eastAsia="nl-BE"/>
        </w:rPr>
        <w:t>Wetenschappelijk</w:t>
      </w:r>
      <w:proofErr w:type="spellEnd"/>
      <w:r w:rsidRPr="00EB4A27">
        <w:rPr>
          <w:rFonts w:asciiTheme="minorHAnsi" w:hAnsiTheme="minorHAnsi"/>
          <w:color w:val="333333"/>
          <w:sz w:val="22"/>
          <w:szCs w:val="22"/>
          <w:lang w:val="fr-BE" w:eastAsia="nl-BE"/>
        </w:rPr>
        <w:t xml:space="preserve"> </w:t>
      </w:r>
      <w:proofErr w:type="spellStart"/>
      <w:r w:rsidRPr="00EB4A27">
        <w:rPr>
          <w:rFonts w:asciiTheme="minorHAnsi" w:hAnsiTheme="minorHAnsi"/>
          <w:color w:val="333333"/>
          <w:sz w:val="22"/>
          <w:szCs w:val="22"/>
          <w:lang w:val="fr-BE" w:eastAsia="nl-BE"/>
        </w:rPr>
        <w:t>Onder</w:t>
      </w:r>
      <w:r>
        <w:rPr>
          <w:rFonts w:asciiTheme="minorHAnsi" w:hAnsiTheme="minorHAnsi"/>
          <w:color w:val="333333"/>
          <w:sz w:val="22"/>
          <w:szCs w:val="22"/>
          <w:lang w:val="fr-BE" w:eastAsia="nl-BE"/>
        </w:rPr>
        <w:t>-</w:t>
      </w:r>
      <w:r w:rsidRPr="00EB4A27">
        <w:rPr>
          <w:rFonts w:asciiTheme="minorHAnsi" w:hAnsiTheme="minorHAnsi"/>
          <w:color w:val="333333"/>
          <w:sz w:val="22"/>
          <w:szCs w:val="22"/>
          <w:lang w:val="fr-BE" w:eastAsia="nl-BE"/>
        </w:rPr>
        <w:t>zoek</w:t>
      </w:r>
      <w:proofErr w:type="spellEnd"/>
      <w:r w:rsidRPr="00EB4A27">
        <w:rPr>
          <w:rFonts w:asciiTheme="minorHAnsi" w:hAnsiTheme="minorHAnsi"/>
          <w:color w:val="333333"/>
          <w:sz w:val="22"/>
          <w:szCs w:val="22"/>
          <w:lang w:val="fr-BE" w:eastAsia="nl-BE"/>
        </w:rPr>
        <w:t xml:space="preserve"> - le Fonds fédéral de la Rec</w:t>
      </w:r>
      <w:r>
        <w:rPr>
          <w:rFonts w:asciiTheme="minorHAnsi" w:hAnsiTheme="minorHAnsi"/>
          <w:color w:val="333333"/>
          <w:sz w:val="22"/>
          <w:szCs w:val="22"/>
          <w:lang w:val="fr-BE" w:eastAsia="nl-BE"/>
        </w:rPr>
        <w:t>herche scientifique - FFWO/FFRS'</w:t>
      </w:r>
      <w:r w:rsidRPr="00EB4A27">
        <w:rPr>
          <w:rFonts w:asciiTheme="minorHAnsi" w:hAnsiTheme="minorHAnsi"/>
          <w:color w:val="333333"/>
          <w:sz w:val="22"/>
          <w:szCs w:val="22"/>
          <w:lang w:val="fr-BE" w:eastAsia="nl-BE"/>
        </w:rPr>
        <w:t xml:space="preserve">, le </w:t>
      </w:r>
      <w:r>
        <w:rPr>
          <w:rFonts w:asciiTheme="minorHAnsi" w:hAnsiTheme="minorHAnsi"/>
          <w:color w:val="333333"/>
          <w:sz w:val="22"/>
          <w:szCs w:val="22"/>
          <w:lang w:val="fr-BE" w:eastAsia="nl-BE"/>
        </w:rPr>
        <w:t>'</w:t>
      </w:r>
      <w:r w:rsidRPr="00EB4A27">
        <w:rPr>
          <w:rFonts w:asciiTheme="minorHAnsi" w:hAnsiTheme="minorHAnsi"/>
          <w:color w:val="333333"/>
          <w:sz w:val="22"/>
          <w:szCs w:val="22"/>
          <w:lang w:val="fr-BE" w:eastAsia="nl-BE"/>
        </w:rPr>
        <w:t xml:space="preserve">Fonds </w:t>
      </w:r>
      <w:proofErr w:type="spellStart"/>
      <w:r w:rsidRPr="00EB4A27">
        <w:rPr>
          <w:rFonts w:asciiTheme="minorHAnsi" w:hAnsiTheme="minorHAnsi"/>
          <w:color w:val="333333"/>
          <w:sz w:val="22"/>
          <w:szCs w:val="22"/>
          <w:lang w:val="fr-BE" w:eastAsia="nl-BE"/>
        </w:rPr>
        <w:t>voor</w:t>
      </w:r>
      <w:proofErr w:type="spellEnd"/>
      <w:r w:rsidRPr="00EB4A27">
        <w:rPr>
          <w:rFonts w:asciiTheme="minorHAnsi" w:hAnsiTheme="minorHAnsi"/>
          <w:color w:val="333333"/>
          <w:sz w:val="22"/>
          <w:szCs w:val="22"/>
          <w:lang w:val="fr-BE" w:eastAsia="nl-BE"/>
        </w:rPr>
        <w:t xml:space="preserve"> </w:t>
      </w:r>
      <w:proofErr w:type="spellStart"/>
      <w:r w:rsidRPr="00EB4A27">
        <w:rPr>
          <w:rFonts w:asciiTheme="minorHAnsi" w:hAnsiTheme="minorHAnsi"/>
          <w:color w:val="333333"/>
          <w:sz w:val="22"/>
          <w:szCs w:val="22"/>
          <w:lang w:val="fr-BE" w:eastAsia="nl-BE"/>
        </w:rPr>
        <w:t>Wetenschappe</w:t>
      </w:r>
      <w:proofErr w:type="spellEnd"/>
      <w:r>
        <w:rPr>
          <w:rFonts w:asciiTheme="minorHAnsi" w:hAnsiTheme="minorHAnsi"/>
          <w:color w:val="333333"/>
          <w:sz w:val="22"/>
          <w:szCs w:val="22"/>
          <w:lang w:val="fr-BE" w:eastAsia="nl-BE"/>
        </w:rPr>
        <w:t xml:space="preserve"> -</w:t>
      </w:r>
      <w:proofErr w:type="spellStart"/>
      <w:r w:rsidRPr="00EB4A27">
        <w:rPr>
          <w:rFonts w:asciiTheme="minorHAnsi" w:hAnsiTheme="minorHAnsi"/>
          <w:color w:val="333333"/>
          <w:sz w:val="22"/>
          <w:szCs w:val="22"/>
          <w:lang w:val="fr-BE" w:eastAsia="nl-BE"/>
        </w:rPr>
        <w:t>lij</w:t>
      </w:r>
      <w:r>
        <w:rPr>
          <w:rFonts w:asciiTheme="minorHAnsi" w:hAnsiTheme="minorHAnsi"/>
          <w:color w:val="333333"/>
          <w:sz w:val="22"/>
          <w:szCs w:val="22"/>
          <w:lang w:val="fr-BE" w:eastAsia="nl-BE"/>
        </w:rPr>
        <w:t>k</w:t>
      </w:r>
      <w:proofErr w:type="spellEnd"/>
      <w:r>
        <w:rPr>
          <w:rFonts w:asciiTheme="minorHAnsi" w:hAnsiTheme="minorHAnsi"/>
          <w:color w:val="333333"/>
          <w:sz w:val="22"/>
          <w:szCs w:val="22"/>
          <w:lang w:val="fr-BE" w:eastAsia="nl-BE"/>
        </w:rPr>
        <w:t xml:space="preserve"> </w:t>
      </w:r>
      <w:proofErr w:type="spellStart"/>
      <w:r>
        <w:rPr>
          <w:rFonts w:asciiTheme="minorHAnsi" w:hAnsiTheme="minorHAnsi"/>
          <w:color w:val="333333"/>
          <w:sz w:val="22"/>
          <w:szCs w:val="22"/>
          <w:lang w:val="fr-BE" w:eastAsia="nl-BE"/>
        </w:rPr>
        <w:t>Onderzoek</w:t>
      </w:r>
      <w:proofErr w:type="spellEnd"/>
      <w:r>
        <w:rPr>
          <w:rFonts w:asciiTheme="minorHAnsi" w:hAnsiTheme="minorHAnsi"/>
          <w:color w:val="333333"/>
          <w:sz w:val="22"/>
          <w:szCs w:val="22"/>
          <w:lang w:val="fr-BE" w:eastAsia="nl-BE"/>
        </w:rPr>
        <w:t xml:space="preserve"> - </w:t>
      </w:r>
      <w:proofErr w:type="spellStart"/>
      <w:r>
        <w:rPr>
          <w:rFonts w:asciiTheme="minorHAnsi" w:hAnsiTheme="minorHAnsi"/>
          <w:color w:val="333333"/>
          <w:sz w:val="22"/>
          <w:szCs w:val="22"/>
          <w:lang w:val="fr-BE" w:eastAsia="nl-BE"/>
        </w:rPr>
        <w:t>Vlaanderen</w:t>
      </w:r>
      <w:proofErr w:type="spellEnd"/>
      <w:r>
        <w:rPr>
          <w:rFonts w:asciiTheme="minorHAnsi" w:hAnsiTheme="minorHAnsi"/>
          <w:color w:val="333333"/>
          <w:sz w:val="22"/>
          <w:szCs w:val="22"/>
          <w:lang w:val="fr-BE" w:eastAsia="nl-BE"/>
        </w:rPr>
        <w:t xml:space="preserve"> – FWO'</w:t>
      </w:r>
      <w:r w:rsidRPr="00EB4A27">
        <w:rPr>
          <w:rFonts w:asciiTheme="minorHAnsi" w:hAnsiTheme="minorHAnsi"/>
          <w:color w:val="333333"/>
          <w:sz w:val="22"/>
          <w:szCs w:val="22"/>
          <w:lang w:val="fr-BE" w:eastAsia="nl-BE"/>
        </w:rPr>
        <w:t xml:space="preserve"> et le </w:t>
      </w:r>
      <w:r>
        <w:rPr>
          <w:rFonts w:asciiTheme="minorHAnsi" w:hAnsiTheme="minorHAnsi"/>
          <w:color w:val="333333"/>
          <w:sz w:val="22"/>
          <w:szCs w:val="22"/>
          <w:lang w:val="fr-BE" w:eastAsia="nl-BE"/>
        </w:rPr>
        <w:t>'</w:t>
      </w:r>
      <w:r w:rsidRPr="00EB4A27">
        <w:rPr>
          <w:rFonts w:asciiTheme="minorHAnsi" w:hAnsiTheme="minorHAnsi"/>
          <w:color w:val="333333"/>
          <w:sz w:val="22"/>
          <w:szCs w:val="22"/>
          <w:lang w:val="fr-BE" w:eastAsia="nl-BE"/>
        </w:rPr>
        <w:t xml:space="preserve">Fonds de la Recherche </w:t>
      </w:r>
      <w:r>
        <w:rPr>
          <w:rFonts w:asciiTheme="minorHAnsi" w:hAnsiTheme="minorHAnsi"/>
          <w:color w:val="333333"/>
          <w:sz w:val="22"/>
          <w:szCs w:val="22"/>
          <w:lang w:val="fr-BE" w:eastAsia="nl-BE"/>
        </w:rPr>
        <w:t>scientifique - FNRS - FRS-FNRS'</w:t>
      </w:r>
      <w:r w:rsidRPr="00EB4A27">
        <w:rPr>
          <w:rFonts w:asciiTheme="minorHAnsi" w:hAnsiTheme="minorHAnsi"/>
          <w:color w:val="333333"/>
          <w:sz w:val="22"/>
          <w:szCs w:val="22"/>
          <w:lang w:val="fr-BE" w:eastAsia="nl-BE"/>
        </w:rPr>
        <w:t>.</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7. Le CIR 92 ne donne aucune définition des notions de « chercheur assistant » et de « chercheur postdoctoral » et ne mentionne pas non plus les exigences de diplôme y liées.</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8. Dans le cadre de cette disposition du CIR 92, il y a lieu de considérer les chercheurs assistants comme les membres du personnel qui possèdent un diplôme d’enseignement supérieur et qui exécutent des travaux de recherche scientifique dans le cadre de la préparation d’une thèse de doctorat ou de travaux de recherche similaires. Par recherche scientifique, on entend les travaux créatifs entrepris de manière systématique en vue d’accroître le stock de connaissances et d’exploiter ces dernières afin de concevoir de nouvelles applications telles que le développement de nouveaux produits et procédés. En conséquence, sont ici visés les membres du personnel assistant des universités ou des hautes écoles ayant un grade d’assistant. Il est à noter que les détenteurs d’un diplôme A1 ou d’un baccalauréat professionnel (enseignement réalisé dans une haute école d'une durée de 3 ans) sont considérés comme détenteurs d’un diplôme de l’enseignement supérieur.</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9. En 2005, le Ministre des Finances de l’époque a confirmé que la notion de « chercheur assistant » devait être comprise fonctionnellement, en tenant compte de la diversité des formes d’emploi et des titres professionnels ainsi que de l’avis du Conseil d’Etat formulé dans le cadre de la loi-programme (I) du 24.12.2002 (Moniteur belge du 31.12.2002, 1</w:t>
      </w:r>
      <w:r w:rsidRPr="00EB4A27">
        <w:rPr>
          <w:rFonts w:asciiTheme="minorHAnsi" w:hAnsiTheme="minorHAnsi"/>
          <w:color w:val="333333"/>
          <w:sz w:val="22"/>
          <w:szCs w:val="22"/>
          <w:vertAlign w:val="superscript"/>
          <w:lang w:val="fr-BE" w:eastAsia="nl-BE"/>
        </w:rPr>
        <w:t>ère</w:t>
      </w:r>
      <w:r w:rsidRPr="00EB4A27">
        <w:rPr>
          <w:rFonts w:asciiTheme="minorHAnsi" w:hAnsiTheme="minorHAnsi"/>
          <w:color w:val="333333"/>
          <w:sz w:val="22"/>
          <w:szCs w:val="22"/>
          <w:lang w:val="fr-BE" w:eastAsia="nl-BE"/>
        </w:rPr>
        <w:t xml:space="preserve"> éd.) (1). Dès lors, il suffit que le membre du personnel concerné possède un diplôme de l’enseignement supérieur et soit considéré comme un chercheur assistant pour que l’employeur, qu’il soit université ou haute école, puisse appliquer la mesure de dispense.</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i/>
          <w:iCs/>
          <w:color w:val="333333"/>
          <w:sz w:val="22"/>
          <w:szCs w:val="22"/>
          <w:lang w:val="fr-BE" w:eastAsia="nl-BE"/>
        </w:rPr>
        <w:t xml:space="preserve">(1) Question parlementaire orale n° 6243 de M. </w:t>
      </w:r>
      <w:proofErr w:type="spellStart"/>
      <w:r w:rsidRPr="00EB4A27">
        <w:rPr>
          <w:rFonts w:asciiTheme="minorHAnsi" w:hAnsiTheme="minorHAnsi"/>
          <w:i/>
          <w:iCs/>
          <w:color w:val="333333"/>
          <w:sz w:val="22"/>
          <w:szCs w:val="22"/>
          <w:lang w:val="fr-BE" w:eastAsia="nl-BE"/>
        </w:rPr>
        <w:t>Wathelet</w:t>
      </w:r>
      <w:proofErr w:type="spellEnd"/>
      <w:r w:rsidRPr="00EB4A27">
        <w:rPr>
          <w:rFonts w:asciiTheme="minorHAnsi" w:hAnsiTheme="minorHAnsi"/>
          <w:i/>
          <w:iCs/>
          <w:color w:val="333333"/>
          <w:sz w:val="22"/>
          <w:szCs w:val="22"/>
          <w:lang w:val="fr-BE" w:eastAsia="nl-BE"/>
        </w:rPr>
        <w:t xml:space="preserve"> </w:t>
      </w:r>
      <w:proofErr w:type="spellStart"/>
      <w:r w:rsidRPr="00EB4A27">
        <w:rPr>
          <w:rFonts w:asciiTheme="minorHAnsi" w:hAnsiTheme="minorHAnsi"/>
          <w:i/>
          <w:iCs/>
          <w:color w:val="333333"/>
          <w:sz w:val="22"/>
          <w:szCs w:val="22"/>
          <w:lang w:val="fr-BE" w:eastAsia="nl-BE"/>
        </w:rPr>
        <w:t>d.d</w:t>
      </w:r>
      <w:proofErr w:type="spellEnd"/>
      <w:r w:rsidRPr="00EB4A27">
        <w:rPr>
          <w:rFonts w:asciiTheme="minorHAnsi" w:hAnsiTheme="minorHAnsi"/>
          <w:i/>
          <w:iCs/>
          <w:color w:val="333333"/>
          <w:sz w:val="22"/>
          <w:szCs w:val="22"/>
          <w:lang w:val="fr-BE" w:eastAsia="nl-BE"/>
        </w:rPr>
        <w:t>. 13.04.2005, Chambre, Commission des Finances et du Budget, session n° 51, compte-rendu analytique, Com. 559, pp. 25-26.</w:t>
      </w:r>
      <w:r w:rsidRPr="00EB4A27">
        <w:rPr>
          <w:rFonts w:asciiTheme="minorHAnsi" w:hAnsiTheme="minorHAnsi"/>
          <w:color w:val="333333"/>
          <w:sz w:val="22"/>
          <w:szCs w:val="22"/>
          <w:lang w:val="fr-BE" w:eastAsia="nl-BE"/>
        </w:rPr>
        <w:t xml:space="preserve"> </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10. Dans le cadre de cette disposition du CIR 92, il y a lieu de considérer les chercheurs postdoctoraux comme les membres du personnel qui sont en possession d’un diplôme d’enseignement supérieur et qui exécutent des travaux de recherche scientifique au niveau postdoctoral. La notion de « recherche scientifique » doit être définie de la même manière qu’au point 8. En conséquence, sont ici visés les membres du personnel assistant des universités ou des hautes écoles ayant un grade d’assistant docteur ou les chercheurs postdoctoraux qui sont rémunérés en tant qu’assistant docteur par le FFWO/FFRS, le FWO ou le FNRS – FRS-FNRS.</w:t>
      </w:r>
    </w:p>
    <w:p w:rsidR="00EB4A27" w:rsidRDefault="00EB4A27" w:rsidP="00EB4A27">
      <w:pPr>
        <w:outlineLvl w:val="2"/>
        <w:rPr>
          <w:rFonts w:asciiTheme="minorHAnsi" w:hAnsiTheme="minorHAnsi"/>
          <w:b/>
          <w:bCs/>
          <w:color w:val="333333"/>
          <w:sz w:val="22"/>
          <w:szCs w:val="22"/>
          <w:lang w:val="fr-BE" w:eastAsia="nl-BE"/>
        </w:rPr>
      </w:pPr>
    </w:p>
    <w:p w:rsidR="00EB4A27" w:rsidRPr="00EB4A27" w:rsidRDefault="00EB4A27" w:rsidP="00EB4A27">
      <w:pPr>
        <w:outlineLvl w:val="2"/>
        <w:rPr>
          <w:rFonts w:asciiTheme="minorHAnsi" w:hAnsiTheme="minorHAnsi"/>
          <w:b/>
          <w:bCs/>
          <w:color w:val="333333"/>
          <w:sz w:val="22"/>
          <w:szCs w:val="22"/>
          <w:lang w:val="fr-BE" w:eastAsia="nl-BE"/>
        </w:rPr>
      </w:pPr>
      <w:r w:rsidRPr="00EB4A27">
        <w:rPr>
          <w:rFonts w:asciiTheme="minorHAnsi" w:hAnsiTheme="minorHAnsi"/>
          <w:b/>
          <w:bCs/>
          <w:color w:val="333333"/>
          <w:sz w:val="22"/>
          <w:szCs w:val="22"/>
          <w:lang w:val="fr-BE" w:eastAsia="nl-BE"/>
        </w:rPr>
        <w:t>Base de calcul</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11. La dispense partielle de versement du précompte professionnel est calculée sur l’ensemble des rémunérations des chercheurs concernés (2). Même s’ils effectuent partiellement d’autres tâches (par exemple, des tâches administratives ou d’enseignement),  l’entièreté de leurs rémunérations peut être prise en compte pour le calcul de la dispense, à condition qu’ils soient considérés comme des chercheurs assistants ou des chercheurs postdoctoraux.</w:t>
      </w:r>
    </w:p>
    <w:p w:rsidR="00EB4A27" w:rsidRDefault="00EB4A27" w:rsidP="00EB4A27">
      <w:pPr>
        <w:rPr>
          <w:rFonts w:asciiTheme="minorHAnsi" w:hAnsiTheme="minorHAnsi"/>
          <w:i/>
          <w:iCs/>
          <w:color w:val="333333"/>
          <w:sz w:val="22"/>
          <w:szCs w:val="22"/>
          <w:lang w:val="fr-BE" w:eastAsia="nl-BE"/>
        </w:rPr>
      </w:pPr>
      <w:r w:rsidRPr="00EB4A27">
        <w:rPr>
          <w:rFonts w:asciiTheme="minorHAnsi" w:hAnsiTheme="minorHAnsi"/>
          <w:i/>
          <w:iCs/>
          <w:color w:val="333333"/>
          <w:sz w:val="22"/>
          <w:szCs w:val="22"/>
          <w:lang w:val="fr-BE" w:eastAsia="nl-BE"/>
        </w:rPr>
        <w:t xml:space="preserve">(2) Question parlementaire orale n° 10078 et 10079 de M. </w:t>
      </w:r>
      <w:proofErr w:type="spellStart"/>
      <w:r w:rsidRPr="00EB4A27">
        <w:rPr>
          <w:rFonts w:asciiTheme="minorHAnsi" w:hAnsiTheme="minorHAnsi"/>
          <w:i/>
          <w:iCs/>
          <w:color w:val="333333"/>
          <w:sz w:val="22"/>
          <w:szCs w:val="22"/>
          <w:lang w:val="fr-BE" w:eastAsia="nl-BE"/>
        </w:rPr>
        <w:t>Bogaert</w:t>
      </w:r>
      <w:proofErr w:type="spellEnd"/>
      <w:r w:rsidRPr="00EB4A27">
        <w:rPr>
          <w:rFonts w:asciiTheme="minorHAnsi" w:hAnsiTheme="minorHAnsi"/>
          <w:i/>
          <w:iCs/>
          <w:color w:val="333333"/>
          <w:sz w:val="22"/>
          <w:szCs w:val="22"/>
          <w:lang w:val="fr-BE" w:eastAsia="nl-BE"/>
        </w:rPr>
        <w:t xml:space="preserve"> </w:t>
      </w:r>
      <w:proofErr w:type="spellStart"/>
      <w:r w:rsidRPr="00EB4A27">
        <w:rPr>
          <w:rFonts w:asciiTheme="minorHAnsi" w:hAnsiTheme="minorHAnsi"/>
          <w:i/>
          <w:iCs/>
          <w:color w:val="333333"/>
          <w:sz w:val="22"/>
          <w:szCs w:val="22"/>
          <w:lang w:val="fr-BE" w:eastAsia="nl-BE"/>
        </w:rPr>
        <w:t>d.d</w:t>
      </w:r>
      <w:proofErr w:type="spellEnd"/>
      <w:r w:rsidRPr="00EB4A27">
        <w:rPr>
          <w:rFonts w:asciiTheme="minorHAnsi" w:hAnsiTheme="minorHAnsi"/>
          <w:i/>
          <w:iCs/>
          <w:color w:val="333333"/>
          <w:sz w:val="22"/>
          <w:szCs w:val="22"/>
          <w:lang w:val="fr-BE" w:eastAsia="nl-BE"/>
        </w:rPr>
        <w:t>. 07.02.2006, Chambre, Commission des Finances et du Budget, session n° 51, compte-rendu analytique, Com. 842, pp. 5-</w:t>
      </w:r>
      <w:r>
        <w:rPr>
          <w:rFonts w:asciiTheme="minorHAnsi" w:hAnsiTheme="minorHAnsi"/>
          <w:i/>
          <w:iCs/>
          <w:color w:val="333333"/>
          <w:sz w:val="22"/>
          <w:szCs w:val="22"/>
          <w:lang w:val="fr-BE" w:eastAsia="nl-BE"/>
        </w:rPr>
        <w:t>6.</w:t>
      </w:r>
    </w:p>
    <w:p w:rsidR="00EB4A27" w:rsidRPr="00EB4A27" w:rsidRDefault="00EB4A27" w:rsidP="00EB4A27">
      <w:pPr>
        <w:rPr>
          <w:rFonts w:asciiTheme="minorHAnsi" w:hAnsiTheme="minorHAnsi"/>
          <w:b/>
          <w:bCs/>
          <w:color w:val="333333"/>
          <w:sz w:val="28"/>
          <w:szCs w:val="28"/>
          <w:lang w:val="fr-BE" w:eastAsia="nl-BE"/>
        </w:rPr>
      </w:pPr>
      <w:r w:rsidRPr="00EB4A27">
        <w:rPr>
          <w:rFonts w:asciiTheme="minorHAnsi" w:hAnsiTheme="minorHAnsi"/>
          <w:b/>
          <w:bCs/>
          <w:color w:val="333333"/>
          <w:sz w:val="28"/>
          <w:szCs w:val="28"/>
          <w:lang w:val="fr-BE" w:eastAsia="nl-BE"/>
        </w:rPr>
        <w:lastRenderedPageBreak/>
        <w:t>Institutions scientifiques agréées</w:t>
      </w:r>
    </w:p>
    <w:p w:rsidR="00EB4A27" w:rsidRDefault="00EB4A27" w:rsidP="00EB4A27">
      <w:pPr>
        <w:outlineLvl w:val="2"/>
        <w:rPr>
          <w:rFonts w:asciiTheme="minorHAnsi" w:hAnsiTheme="minorHAnsi"/>
          <w:b/>
          <w:bCs/>
          <w:color w:val="333333"/>
          <w:sz w:val="22"/>
          <w:szCs w:val="22"/>
          <w:lang w:val="fr-BE" w:eastAsia="nl-BE"/>
        </w:rPr>
      </w:pPr>
    </w:p>
    <w:p w:rsidR="00EB4A27" w:rsidRPr="00EB4A27" w:rsidRDefault="00EB4A27" w:rsidP="00EB4A27">
      <w:pPr>
        <w:outlineLvl w:val="2"/>
        <w:rPr>
          <w:rFonts w:asciiTheme="minorHAnsi" w:hAnsiTheme="minorHAnsi"/>
          <w:b/>
          <w:bCs/>
          <w:color w:val="333333"/>
          <w:sz w:val="22"/>
          <w:szCs w:val="22"/>
          <w:lang w:val="fr-BE" w:eastAsia="nl-BE"/>
        </w:rPr>
      </w:pPr>
      <w:r w:rsidRPr="00EB4A27">
        <w:rPr>
          <w:rFonts w:asciiTheme="minorHAnsi" w:hAnsiTheme="minorHAnsi"/>
          <w:b/>
          <w:bCs/>
          <w:color w:val="333333"/>
          <w:sz w:val="22"/>
          <w:szCs w:val="22"/>
          <w:lang w:val="fr-BE" w:eastAsia="nl-BE"/>
        </w:rPr>
        <w:t>Conditions liées au diplôme</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12. Il ressort de l’article 275</w:t>
      </w:r>
      <w:r w:rsidRPr="00EB4A27">
        <w:rPr>
          <w:rFonts w:asciiTheme="minorHAnsi" w:hAnsiTheme="minorHAnsi"/>
          <w:color w:val="333333"/>
          <w:sz w:val="22"/>
          <w:szCs w:val="22"/>
          <w:vertAlign w:val="superscript"/>
          <w:lang w:val="fr-BE" w:eastAsia="nl-BE"/>
        </w:rPr>
        <w:t>3</w:t>
      </w:r>
      <w:r w:rsidRPr="00EB4A27">
        <w:rPr>
          <w:rFonts w:asciiTheme="minorHAnsi" w:hAnsiTheme="minorHAnsi"/>
          <w:color w:val="333333"/>
          <w:sz w:val="22"/>
          <w:szCs w:val="22"/>
          <w:lang w:val="fr-BE" w:eastAsia="nl-BE"/>
        </w:rPr>
        <w:t>, § 1</w:t>
      </w:r>
      <w:r w:rsidRPr="00EB4A27">
        <w:rPr>
          <w:rFonts w:asciiTheme="minorHAnsi" w:hAnsiTheme="minorHAnsi"/>
          <w:color w:val="333333"/>
          <w:sz w:val="22"/>
          <w:szCs w:val="22"/>
          <w:vertAlign w:val="superscript"/>
          <w:lang w:val="fr-BE" w:eastAsia="nl-BE"/>
        </w:rPr>
        <w:t>er</w:t>
      </w:r>
      <w:r w:rsidRPr="00EB4A27">
        <w:rPr>
          <w:rFonts w:asciiTheme="minorHAnsi" w:hAnsiTheme="minorHAnsi"/>
          <w:color w:val="333333"/>
          <w:sz w:val="22"/>
          <w:szCs w:val="22"/>
          <w:lang w:val="fr-BE" w:eastAsia="nl-BE"/>
        </w:rPr>
        <w:t>, al. 2, CIR 92, que la dispense partielle de versement du précompte professionnel est également octroyée aux institutions scientifiques qui sont agréées par un arrêté royal délibéré en Conseil des Ministres et qui paient ou attribuent des rémunérations à des chercheurs assistants ou des chercheurs postdoctoraux.</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13. Le CIR 92 ne donne aucune définition des notions de « chercheur assistant » et de « chercheur postdoctoral » et ne mentionne pas non plus les exigences de diplôme y liées.</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14. Dans le cadre de cette disposition du CIR 92, il y a lieu de considérer les chercheurs assistants comme les membres du personnel qui sont en possession d’un diplôme d’enseignement supérieur et qui, en tant que chercheurs assistants, participent à des projets scientifiques, c’est-à-dire les membres du personnel qui assistent un ou plusieurs promoteurs dans la réalisation de leurs objectifs de recherche. Ces promoteurs (membre du personnel dirigeant ou responsable pour l'orientation de la recherche, organes statutaires, comités techniques, conseils d'administration, conseils scientifiques, ...) ne sont pas concernés par la mesure. Par recherche scientifique, on entend, comme déjà précisé au point 8, les travaux créatifs entrepris de manière systématique en vue d’accroître le stock de connaissances et d’exploiter ces dernières afin de concevoir de nouvelles applications telles que le développement de nouveaux produits et procédés. Il est à noter que les détenteurs d’un diplôme A1 ou d’un baccalauréat professionnel (enseignement réalisé dans une haute école d'une durée de 3 ans) sont considérés comme détenteurs d’un diplôme de l’enseignement supérieur.</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15. La notion de « chercheur assistant » doit dans ce cas aussi être comprise fonctionnellement. Dès lors, il suffit que le travailleur qui possède un diplôme de l’enseignement supérieur, soit considéré comme un chercheur assistant et soit rémunéré par une institution scientifique agréée, pour que la mesure de dispense trouve à s’appliquer, sous réserve du respect des autres conditions.</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16. Dans le cadre de cette disposition du CIR 92, il y a lieu de considérer les chercheurs postdoctoraux comme les membres du personnel qui sont en possession d’un diplôme d’enseignement supérieur et qui effectuent des travaux scientifiques d'exécution pour la recherche au niveau postdoctoral.</w:t>
      </w:r>
    </w:p>
    <w:p w:rsidR="00EB4A27" w:rsidRDefault="00EB4A27" w:rsidP="00EB4A27">
      <w:pPr>
        <w:outlineLvl w:val="2"/>
        <w:rPr>
          <w:rFonts w:asciiTheme="minorHAnsi" w:hAnsiTheme="minorHAnsi"/>
          <w:b/>
          <w:bCs/>
          <w:color w:val="333333"/>
          <w:sz w:val="22"/>
          <w:szCs w:val="22"/>
          <w:lang w:val="fr-BE" w:eastAsia="nl-BE"/>
        </w:rPr>
      </w:pPr>
    </w:p>
    <w:p w:rsidR="00EB4A27" w:rsidRPr="00EB4A27" w:rsidRDefault="00EB4A27" w:rsidP="00EB4A27">
      <w:pPr>
        <w:outlineLvl w:val="2"/>
        <w:rPr>
          <w:rFonts w:asciiTheme="minorHAnsi" w:hAnsiTheme="minorHAnsi"/>
          <w:b/>
          <w:bCs/>
          <w:color w:val="333333"/>
          <w:sz w:val="22"/>
          <w:szCs w:val="22"/>
          <w:lang w:val="fr-BE" w:eastAsia="nl-BE"/>
        </w:rPr>
      </w:pPr>
      <w:r w:rsidRPr="00EB4A27">
        <w:rPr>
          <w:rFonts w:asciiTheme="minorHAnsi" w:hAnsiTheme="minorHAnsi"/>
          <w:b/>
          <w:bCs/>
          <w:color w:val="333333"/>
          <w:sz w:val="22"/>
          <w:szCs w:val="22"/>
          <w:lang w:val="fr-BE" w:eastAsia="nl-BE"/>
        </w:rPr>
        <w:t>Base de calcul</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17. La dispense partielle de versement du précompte professionnel peut être calculée, par l’institution scientifique agréée, sur la totalité des rémunérations du chercheur assistant ou du chercheur postdoctoral, même si le chercheur effectue partiellement d’autres tâches.</w:t>
      </w:r>
    </w:p>
    <w:p w:rsidR="00EB4A27" w:rsidRPr="00EB4A27" w:rsidRDefault="00EB4A27" w:rsidP="00EB4A27">
      <w:pPr>
        <w:outlineLvl w:val="1"/>
        <w:rPr>
          <w:rFonts w:asciiTheme="minorHAnsi" w:hAnsiTheme="minorHAnsi"/>
          <w:b/>
          <w:bCs/>
          <w:color w:val="333333"/>
          <w:lang w:val="fr-BE" w:eastAsia="nl-BE"/>
        </w:rPr>
      </w:pPr>
      <w:r>
        <w:rPr>
          <w:rFonts w:asciiTheme="minorHAnsi" w:hAnsiTheme="minorHAnsi"/>
          <w:b/>
          <w:bCs/>
          <w:color w:val="333333"/>
          <w:sz w:val="22"/>
          <w:szCs w:val="22"/>
          <w:lang w:val="fr-BE" w:eastAsia="nl-BE"/>
        </w:rPr>
        <w:br w:type="page"/>
      </w:r>
      <w:r w:rsidRPr="00EB4A27">
        <w:rPr>
          <w:rFonts w:asciiTheme="minorHAnsi" w:hAnsiTheme="minorHAnsi"/>
          <w:b/>
          <w:bCs/>
          <w:color w:val="333333"/>
          <w:lang w:val="fr-BE" w:eastAsia="nl-BE"/>
        </w:rPr>
        <w:lastRenderedPageBreak/>
        <w:t>Entreprises qui paient ou attribuent des rémunérations à des chercheurs affectés à des projets ou des programmes de recherche ou de développement menés en exécution de conventions de partenariat conclues avec des universités, des hautes écoles ou des institutions scientifiques agréées</w:t>
      </w:r>
    </w:p>
    <w:p w:rsidR="00EB4A27" w:rsidRDefault="00EB4A27" w:rsidP="00EB4A27">
      <w:pPr>
        <w:outlineLvl w:val="2"/>
        <w:rPr>
          <w:rFonts w:asciiTheme="minorHAnsi" w:hAnsiTheme="minorHAnsi"/>
          <w:b/>
          <w:bCs/>
          <w:color w:val="333333"/>
          <w:sz w:val="22"/>
          <w:szCs w:val="22"/>
          <w:lang w:val="fr-BE" w:eastAsia="nl-BE"/>
        </w:rPr>
      </w:pPr>
    </w:p>
    <w:p w:rsidR="00EB4A27" w:rsidRPr="00EB4A27" w:rsidRDefault="00EB4A27" w:rsidP="00EB4A27">
      <w:pPr>
        <w:outlineLvl w:val="2"/>
        <w:rPr>
          <w:rFonts w:asciiTheme="minorHAnsi" w:hAnsiTheme="minorHAnsi"/>
          <w:b/>
          <w:bCs/>
          <w:color w:val="333333"/>
          <w:sz w:val="22"/>
          <w:szCs w:val="22"/>
          <w:lang w:val="fr-BE" w:eastAsia="nl-BE"/>
        </w:rPr>
      </w:pPr>
      <w:r w:rsidRPr="00EB4A27">
        <w:rPr>
          <w:rFonts w:asciiTheme="minorHAnsi" w:hAnsiTheme="minorHAnsi"/>
          <w:b/>
          <w:bCs/>
          <w:color w:val="333333"/>
          <w:sz w:val="22"/>
          <w:szCs w:val="22"/>
          <w:lang w:val="fr-BE" w:eastAsia="nl-BE"/>
        </w:rPr>
        <w:t>Conditions liées au diplôme</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18. Il ressort de l’article 275</w:t>
      </w:r>
      <w:r w:rsidRPr="00EB4A27">
        <w:rPr>
          <w:rFonts w:asciiTheme="minorHAnsi" w:hAnsiTheme="minorHAnsi"/>
          <w:color w:val="333333"/>
          <w:sz w:val="22"/>
          <w:szCs w:val="22"/>
          <w:vertAlign w:val="superscript"/>
          <w:lang w:val="fr-BE" w:eastAsia="nl-BE"/>
        </w:rPr>
        <w:t>3</w:t>
      </w:r>
      <w:r w:rsidRPr="00EB4A27">
        <w:rPr>
          <w:rFonts w:asciiTheme="minorHAnsi" w:hAnsiTheme="minorHAnsi"/>
          <w:color w:val="333333"/>
          <w:sz w:val="22"/>
          <w:szCs w:val="22"/>
          <w:lang w:val="fr-BE" w:eastAsia="nl-BE"/>
        </w:rPr>
        <w:t>, § 1</w:t>
      </w:r>
      <w:r w:rsidRPr="00EB4A27">
        <w:rPr>
          <w:rFonts w:asciiTheme="minorHAnsi" w:hAnsiTheme="minorHAnsi"/>
          <w:color w:val="333333"/>
          <w:sz w:val="22"/>
          <w:szCs w:val="22"/>
          <w:vertAlign w:val="superscript"/>
          <w:lang w:val="fr-BE" w:eastAsia="nl-BE"/>
        </w:rPr>
        <w:t>er</w:t>
      </w:r>
      <w:r w:rsidRPr="00EB4A27">
        <w:rPr>
          <w:rFonts w:asciiTheme="minorHAnsi" w:hAnsiTheme="minorHAnsi"/>
          <w:color w:val="333333"/>
          <w:sz w:val="22"/>
          <w:szCs w:val="22"/>
          <w:lang w:val="fr-BE" w:eastAsia="nl-BE"/>
        </w:rPr>
        <w:t>, al. 3, 1°, CIR 92, que la dispense partielle de versement du précompte professionnel est également octroyée aux entreprises qui paient ou attribuent des rémunérations à des chercheurs affectés à des projets ou programmes de recherche ou de développement menés en exécution de conventions de partenariat conclues avec des universités ou des hautes écoles établies dans l'Espace économique européen ou avec des institutions scientifiques agréées.</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19. Pour déterminer précisément qui peut être considéré comme chercheur, on ne trouve des précisions ni dans la loi-programme du 27.12.2004 (Moniteur belge 31.12.2004) dans laquelle la mesure de dispense qui existait déjà pour les universités, les hautes écoles et les institutions scientifiques agréées, a été étendue aux entreprises qui emploient des chercheurs affectés à des projets ou des programmes de recherche ou de développement menés en exécution de conventions de partenariat conclues avec des universités, des hautes écoles ou des institutions scientifiques agréées, ni dans les travaux parlementaires de cette loi. Il est cependant exigé que le travailleur concerné soit en possession d’un diplôme de l’enseignement supérieur (3).</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i/>
          <w:iCs/>
          <w:color w:val="333333"/>
          <w:sz w:val="22"/>
          <w:szCs w:val="22"/>
          <w:lang w:val="fr-BE" w:eastAsia="nl-BE"/>
        </w:rPr>
        <w:t xml:space="preserve">(3) Doc. </w:t>
      </w:r>
      <w:proofErr w:type="spellStart"/>
      <w:r w:rsidRPr="00EB4A27">
        <w:rPr>
          <w:rFonts w:asciiTheme="minorHAnsi" w:hAnsiTheme="minorHAnsi"/>
          <w:i/>
          <w:iCs/>
          <w:color w:val="333333"/>
          <w:sz w:val="22"/>
          <w:szCs w:val="22"/>
          <w:lang w:val="fr-BE" w:eastAsia="nl-BE"/>
        </w:rPr>
        <w:t>parl</w:t>
      </w:r>
      <w:proofErr w:type="spellEnd"/>
      <w:r w:rsidRPr="00EB4A27">
        <w:rPr>
          <w:rFonts w:asciiTheme="minorHAnsi" w:hAnsiTheme="minorHAnsi"/>
          <w:i/>
          <w:iCs/>
          <w:color w:val="333333"/>
          <w:sz w:val="22"/>
          <w:szCs w:val="22"/>
          <w:lang w:val="fr-BE" w:eastAsia="nl-BE"/>
        </w:rPr>
        <w:t>., Chambre, 2004-2005, n° 51-1437/001, p. 230. Les travaux parlementaires ne limitent pas l’application de la mesure aux détenteurs d’un diplôme de master. Tous les diplômes d’enseignement supérieur entrent en ligne de compte.</w:t>
      </w:r>
      <w:r w:rsidRPr="00EB4A27">
        <w:rPr>
          <w:rFonts w:asciiTheme="minorHAnsi" w:hAnsiTheme="minorHAnsi"/>
          <w:color w:val="333333"/>
          <w:sz w:val="22"/>
          <w:szCs w:val="22"/>
          <w:lang w:val="fr-BE" w:eastAsia="nl-BE"/>
        </w:rPr>
        <w:t xml:space="preserve"> </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 xml:space="preserve">20. Dans le cadre de l’extension de la mesure de dispense aux « Young </w:t>
      </w:r>
      <w:proofErr w:type="spellStart"/>
      <w:r w:rsidRPr="00EB4A27">
        <w:rPr>
          <w:rFonts w:asciiTheme="minorHAnsi" w:hAnsiTheme="minorHAnsi"/>
          <w:color w:val="333333"/>
          <w:sz w:val="22"/>
          <w:szCs w:val="22"/>
          <w:lang w:val="fr-BE" w:eastAsia="nl-BE"/>
        </w:rPr>
        <w:t>Innovative</w:t>
      </w:r>
      <w:proofErr w:type="spellEnd"/>
      <w:r w:rsidRPr="00EB4A27">
        <w:rPr>
          <w:rFonts w:asciiTheme="minorHAnsi" w:hAnsiTheme="minorHAnsi"/>
          <w:color w:val="333333"/>
          <w:sz w:val="22"/>
          <w:szCs w:val="22"/>
          <w:lang w:val="fr-BE" w:eastAsia="nl-BE"/>
        </w:rPr>
        <w:t xml:space="preserve"> </w:t>
      </w:r>
      <w:proofErr w:type="spellStart"/>
      <w:r w:rsidRPr="00EB4A27">
        <w:rPr>
          <w:rFonts w:asciiTheme="minorHAnsi" w:hAnsiTheme="minorHAnsi"/>
          <w:color w:val="333333"/>
          <w:sz w:val="22"/>
          <w:szCs w:val="22"/>
          <w:lang w:val="fr-BE" w:eastAsia="nl-BE"/>
        </w:rPr>
        <w:t>Companies</w:t>
      </w:r>
      <w:proofErr w:type="spellEnd"/>
      <w:r w:rsidRPr="00EB4A27">
        <w:rPr>
          <w:rFonts w:asciiTheme="minorHAnsi" w:hAnsiTheme="minorHAnsi"/>
          <w:color w:val="333333"/>
          <w:sz w:val="22"/>
          <w:szCs w:val="22"/>
          <w:lang w:val="fr-BE" w:eastAsia="nl-BE"/>
        </w:rPr>
        <w:t xml:space="preserve"> » (voyez ci-dessous), la notion de « chercheur » a été précisée. Cette définition a été introduite au point III, e), al. 2 de l’annexe </w:t>
      </w:r>
      <w:proofErr w:type="spellStart"/>
      <w:r w:rsidRPr="00EB4A27">
        <w:rPr>
          <w:rFonts w:asciiTheme="minorHAnsi" w:hAnsiTheme="minorHAnsi"/>
          <w:color w:val="333333"/>
          <w:sz w:val="22"/>
          <w:szCs w:val="22"/>
          <w:lang w:val="fr-BE" w:eastAsia="nl-BE"/>
        </w:rPr>
        <w:t>III</w:t>
      </w:r>
      <w:r w:rsidRPr="00EB4A27">
        <w:rPr>
          <w:rFonts w:asciiTheme="minorHAnsi" w:hAnsiTheme="minorHAnsi"/>
          <w:i/>
          <w:iCs/>
          <w:color w:val="333333"/>
          <w:sz w:val="22"/>
          <w:szCs w:val="22"/>
          <w:lang w:val="fr-BE" w:eastAsia="nl-BE"/>
        </w:rPr>
        <w:t>ter</w:t>
      </w:r>
      <w:proofErr w:type="spellEnd"/>
      <w:r w:rsidRPr="00EB4A27">
        <w:rPr>
          <w:rFonts w:asciiTheme="minorHAnsi" w:hAnsiTheme="minorHAnsi"/>
          <w:i/>
          <w:iCs/>
          <w:color w:val="333333"/>
          <w:sz w:val="22"/>
          <w:szCs w:val="22"/>
          <w:lang w:val="fr-BE" w:eastAsia="nl-BE"/>
        </w:rPr>
        <w:t>,</w:t>
      </w:r>
      <w:r w:rsidRPr="00EB4A27">
        <w:rPr>
          <w:rFonts w:asciiTheme="minorHAnsi" w:hAnsiTheme="minorHAnsi"/>
          <w:color w:val="333333"/>
          <w:sz w:val="22"/>
          <w:szCs w:val="22"/>
          <w:lang w:val="fr-BE" w:eastAsia="nl-BE"/>
        </w:rPr>
        <w:t xml:space="preserve"> AR/CIR 92 et est libellée de la sorte : </w:t>
      </w:r>
      <w:r w:rsidRPr="00EB4A27">
        <w:rPr>
          <w:rFonts w:asciiTheme="minorHAnsi" w:hAnsiTheme="minorHAnsi"/>
          <w:i/>
          <w:iCs/>
          <w:color w:val="333333"/>
          <w:sz w:val="22"/>
          <w:szCs w:val="22"/>
          <w:lang w:val="fr-BE" w:eastAsia="nl-BE"/>
        </w:rPr>
        <w:t>« Par chercheur, on entend des scientifiques ou des ingénieurs travaillant à la conception ou la création de connaissances, de produits, de procédés, de méthodes ou de systèmes nouveaux. Sont assimilés aux ingénieurs, les salariés qui sans remplir les conditions de diplôme, ont acquis cette qualification au sein de leur entreprise »</w:t>
      </w:r>
      <w:r w:rsidRPr="00EB4A27">
        <w:rPr>
          <w:rFonts w:asciiTheme="minorHAnsi" w:hAnsiTheme="minorHAnsi"/>
          <w:color w:val="333333"/>
          <w:sz w:val="22"/>
          <w:szCs w:val="22"/>
          <w:lang w:val="fr-BE" w:eastAsia="nl-BE"/>
        </w:rPr>
        <w:t>. Cette définition peut ici également être utilisée, étant entendu que le chercheur concerné doit être détenteur au minimum d’un diplôme de l’enseignement supérieur.</w:t>
      </w:r>
    </w:p>
    <w:p w:rsidR="00EB4A27" w:rsidRDefault="00EB4A27" w:rsidP="00EB4A27">
      <w:pPr>
        <w:outlineLvl w:val="2"/>
        <w:rPr>
          <w:rFonts w:asciiTheme="minorHAnsi" w:hAnsiTheme="minorHAnsi"/>
          <w:b/>
          <w:bCs/>
          <w:color w:val="333333"/>
          <w:sz w:val="22"/>
          <w:szCs w:val="22"/>
          <w:lang w:val="fr-BE" w:eastAsia="nl-BE"/>
        </w:rPr>
      </w:pPr>
    </w:p>
    <w:p w:rsidR="00EB4A27" w:rsidRPr="00EB4A27" w:rsidRDefault="00EB4A27" w:rsidP="00EB4A27">
      <w:pPr>
        <w:outlineLvl w:val="2"/>
        <w:rPr>
          <w:rFonts w:asciiTheme="minorHAnsi" w:hAnsiTheme="minorHAnsi"/>
          <w:b/>
          <w:bCs/>
          <w:color w:val="333333"/>
          <w:sz w:val="22"/>
          <w:szCs w:val="22"/>
          <w:lang w:val="fr-BE" w:eastAsia="nl-BE"/>
        </w:rPr>
      </w:pPr>
      <w:r w:rsidRPr="00EB4A27">
        <w:rPr>
          <w:rFonts w:asciiTheme="minorHAnsi" w:hAnsiTheme="minorHAnsi"/>
          <w:b/>
          <w:bCs/>
          <w:color w:val="333333"/>
          <w:sz w:val="22"/>
          <w:szCs w:val="22"/>
          <w:lang w:val="fr-BE" w:eastAsia="nl-BE"/>
        </w:rPr>
        <w:t>Base de calcul</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21. En vertu de l’article 275</w:t>
      </w:r>
      <w:r w:rsidRPr="00EB4A27">
        <w:rPr>
          <w:rFonts w:asciiTheme="minorHAnsi" w:hAnsiTheme="minorHAnsi"/>
          <w:color w:val="333333"/>
          <w:sz w:val="22"/>
          <w:szCs w:val="22"/>
          <w:vertAlign w:val="superscript"/>
          <w:lang w:val="fr-BE" w:eastAsia="nl-BE"/>
        </w:rPr>
        <w:t>3</w:t>
      </w:r>
      <w:r w:rsidRPr="00EB4A27">
        <w:rPr>
          <w:rFonts w:asciiTheme="minorHAnsi" w:hAnsiTheme="minorHAnsi"/>
          <w:color w:val="333333"/>
          <w:sz w:val="22"/>
          <w:szCs w:val="22"/>
          <w:lang w:val="fr-BE" w:eastAsia="nl-BE"/>
        </w:rPr>
        <w:t>, § 1</w:t>
      </w:r>
      <w:r w:rsidRPr="00EB4A27">
        <w:rPr>
          <w:rFonts w:asciiTheme="minorHAnsi" w:hAnsiTheme="minorHAnsi"/>
          <w:color w:val="333333"/>
          <w:sz w:val="22"/>
          <w:szCs w:val="22"/>
          <w:vertAlign w:val="superscript"/>
          <w:lang w:val="fr-BE" w:eastAsia="nl-BE"/>
        </w:rPr>
        <w:t>er</w:t>
      </w:r>
      <w:r w:rsidRPr="00EB4A27">
        <w:rPr>
          <w:rFonts w:asciiTheme="minorHAnsi" w:hAnsiTheme="minorHAnsi"/>
          <w:color w:val="333333"/>
          <w:sz w:val="22"/>
          <w:szCs w:val="22"/>
          <w:lang w:val="fr-BE" w:eastAsia="nl-BE"/>
        </w:rPr>
        <w:t xml:space="preserve">, al. 3, 1°, </w:t>
      </w:r>
      <w:r w:rsidRPr="00EB4A27">
        <w:rPr>
          <w:rFonts w:asciiTheme="minorHAnsi" w:hAnsiTheme="minorHAnsi"/>
          <w:i/>
          <w:iCs/>
          <w:color w:val="333333"/>
          <w:sz w:val="22"/>
          <w:szCs w:val="22"/>
          <w:lang w:val="fr-BE" w:eastAsia="nl-BE"/>
        </w:rPr>
        <w:t>in fine</w:t>
      </w:r>
      <w:r w:rsidRPr="00EB4A27">
        <w:rPr>
          <w:rFonts w:asciiTheme="minorHAnsi" w:hAnsiTheme="minorHAnsi"/>
          <w:color w:val="333333"/>
          <w:sz w:val="22"/>
          <w:szCs w:val="22"/>
          <w:lang w:val="fr-BE" w:eastAsia="nl-BE"/>
        </w:rPr>
        <w:t>, CIR 92, cette dispense partielle de versement ne vaut que pour le précompte professionnel dû sur les rémunérations qui sont payées dans le cadre des projets ou programmes de recherche ou de développement, pendant la durée du projet en question et pour autant que ces rémunérations soient afférentes à des prestations effectives liées au projet ou programme de recherche ou de développement. Cela implique que, lorsqu’un chercheur n’est affecté que partiellement à un projet de recherche en exécution d’une convention de partenariat et, au sein de la même entreprise, effectue partiellement d’autres tâches, le précompte professionnel dû doit être réparti au prorata en fonction, d’une part, des rémunérations qui sont afférentes aux activités effectuées dans le cadre du projet de recherche et, d’autre part, des autres rémunérations. Seule la partie du précompte professionnel afférente aux rémunérations payées dans le cadre des prestations effectives liées au projet de recherche qui fait l’objet de la convention de partenariat entre en ligne de compte pour la dispense.</w:t>
      </w:r>
    </w:p>
    <w:p w:rsidR="009D285E" w:rsidRDefault="009D285E" w:rsidP="00EB4A27">
      <w:pPr>
        <w:outlineLvl w:val="1"/>
        <w:rPr>
          <w:rFonts w:asciiTheme="minorHAnsi" w:hAnsiTheme="minorHAnsi"/>
          <w:b/>
          <w:bCs/>
          <w:color w:val="333333"/>
          <w:sz w:val="22"/>
          <w:szCs w:val="22"/>
          <w:lang w:val="fr-BE" w:eastAsia="nl-BE"/>
        </w:rPr>
      </w:pPr>
    </w:p>
    <w:p w:rsidR="00EB4A27" w:rsidRPr="00EB4A27" w:rsidRDefault="00EB4A27" w:rsidP="00EB4A27">
      <w:pPr>
        <w:outlineLvl w:val="1"/>
        <w:rPr>
          <w:rFonts w:asciiTheme="minorHAnsi" w:hAnsiTheme="minorHAnsi"/>
          <w:b/>
          <w:bCs/>
          <w:color w:val="333333"/>
          <w:sz w:val="28"/>
          <w:szCs w:val="28"/>
          <w:lang w:val="fr-BE" w:eastAsia="nl-BE"/>
        </w:rPr>
      </w:pPr>
      <w:r w:rsidRPr="00EB4A27">
        <w:rPr>
          <w:rFonts w:asciiTheme="minorHAnsi" w:hAnsiTheme="minorHAnsi"/>
          <w:b/>
          <w:bCs/>
          <w:color w:val="333333"/>
          <w:sz w:val="28"/>
          <w:szCs w:val="28"/>
          <w:lang w:val="fr-BE" w:eastAsia="nl-BE"/>
        </w:rPr>
        <w:lastRenderedPageBreak/>
        <w:t xml:space="preserve">Young </w:t>
      </w:r>
      <w:proofErr w:type="spellStart"/>
      <w:r w:rsidRPr="00EB4A27">
        <w:rPr>
          <w:rFonts w:asciiTheme="minorHAnsi" w:hAnsiTheme="minorHAnsi"/>
          <w:b/>
          <w:bCs/>
          <w:color w:val="333333"/>
          <w:sz w:val="28"/>
          <w:szCs w:val="28"/>
          <w:lang w:val="fr-BE" w:eastAsia="nl-BE"/>
        </w:rPr>
        <w:t>Innovative</w:t>
      </w:r>
      <w:proofErr w:type="spellEnd"/>
      <w:r w:rsidRPr="00EB4A27">
        <w:rPr>
          <w:rFonts w:asciiTheme="minorHAnsi" w:hAnsiTheme="minorHAnsi"/>
          <w:b/>
          <w:bCs/>
          <w:color w:val="333333"/>
          <w:sz w:val="28"/>
          <w:szCs w:val="28"/>
          <w:lang w:val="fr-BE" w:eastAsia="nl-BE"/>
        </w:rPr>
        <w:t xml:space="preserve"> </w:t>
      </w:r>
      <w:proofErr w:type="spellStart"/>
      <w:r w:rsidRPr="00EB4A27">
        <w:rPr>
          <w:rFonts w:asciiTheme="minorHAnsi" w:hAnsiTheme="minorHAnsi"/>
          <w:b/>
          <w:bCs/>
          <w:color w:val="333333"/>
          <w:sz w:val="28"/>
          <w:szCs w:val="28"/>
          <w:lang w:val="fr-BE" w:eastAsia="nl-BE"/>
        </w:rPr>
        <w:t>Companies</w:t>
      </w:r>
      <w:proofErr w:type="spellEnd"/>
    </w:p>
    <w:p w:rsidR="009D285E" w:rsidRDefault="009D285E" w:rsidP="00EB4A27">
      <w:pPr>
        <w:outlineLvl w:val="2"/>
        <w:rPr>
          <w:rFonts w:asciiTheme="minorHAnsi" w:hAnsiTheme="minorHAnsi"/>
          <w:b/>
          <w:bCs/>
          <w:color w:val="333333"/>
          <w:sz w:val="22"/>
          <w:szCs w:val="22"/>
          <w:lang w:val="fr-BE" w:eastAsia="nl-BE"/>
        </w:rPr>
      </w:pPr>
    </w:p>
    <w:p w:rsidR="00EB4A27" w:rsidRPr="00EB4A27" w:rsidRDefault="00EB4A27" w:rsidP="00EB4A27">
      <w:pPr>
        <w:outlineLvl w:val="2"/>
        <w:rPr>
          <w:rFonts w:asciiTheme="minorHAnsi" w:hAnsiTheme="minorHAnsi"/>
          <w:b/>
          <w:bCs/>
          <w:color w:val="333333"/>
          <w:sz w:val="22"/>
          <w:szCs w:val="22"/>
          <w:lang w:val="fr-BE" w:eastAsia="nl-BE"/>
        </w:rPr>
      </w:pPr>
      <w:r w:rsidRPr="00EB4A27">
        <w:rPr>
          <w:rFonts w:asciiTheme="minorHAnsi" w:hAnsiTheme="minorHAnsi"/>
          <w:b/>
          <w:bCs/>
          <w:color w:val="333333"/>
          <w:sz w:val="22"/>
          <w:szCs w:val="22"/>
          <w:lang w:val="fr-BE" w:eastAsia="nl-BE"/>
        </w:rPr>
        <w:t>Conditions liées au diplôme</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22. Il ressort de l’article 275</w:t>
      </w:r>
      <w:r w:rsidRPr="00EB4A27">
        <w:rPr>
          <w:rFonts w:asciiTheme="minorHAnsi" w:hAnsiTheme="minorHAnsi"/>
          <w:color w:val="333333"/>
          <w:sz w:val="22"/>
          <w:szCs w:val="22"/>
          <w:vertAlign w:val="superscript"/>
          <w:lang w:val="fr-BE" w:eastAsia="nl-BE"/>
        </w:rPr>
        <w:t>3</w:t>
      </w:r>
      <w:r w:rsidRPr="00EB4A27">
        <w:rPr>
          <w:rFonts w:asciiTheme="minorHAnsi" w:hAnsiTheme="minorHAnsi"/>
          <w:color w:val="333333"/>
          <w:sz w:val="22"/>
          <w:szCs w:val="22"/>
          <w:lang w:val="fr-BE" w:eastAsia="nl-BE"/>
        </w:rPr>
        <w:t>, § 1</w:t>
      </w:r>
      <w:r w:rsidRPr="00EB4A27">
        <w:rPr>
          <w:rFonts w:asciiTheme="minorHAnsi" w:hAnsiTheme="minorHAnsi"/>
          <w:color w:val="333333"/>
          <w:sz w:val="22"/>
          <w:szCs w:val="22"/>
          <w:vertAlign w:val="superscript"/>
          <w:lang w:val="fr-BE" w:eastAsia="nl-BE"/>
        </w:rPr>
        <w:t>er</w:t>
      </w:r>
      <w:r w:rsidRPr="00EB4A27">
        <w:rPr>
          <w:rFonts w:asciiTheme="minorHAnsi" w:hAnsiTheme="minorHAnsi"/>
          <w:color w:val="333333"/>
          <w:sz w:val="22"/>
          <w:szCs w:val="22"/>
          <w:lang w:val="fr-BE" w:eastAsia="nl-BE"/>
        </w:rPr>
        <w:t xml:space="preserve">, al. 3, 2°, CIR 92, que la dispense partielle de versement de précompte professionnel s’applique également aux rémunérations payées ou attribuées au personnel scientifique employé en tant que travailleur par une Young </w:t>
      </w:r>
      <w:proofErr w:type="spellStart"/>
      <w:r w:rsidRPr="00EB4A27">
        <w:rPr>
          <w:rFonts w:asciiTheme="minorHAnsi" w:hAnsiTheme="minorHAnsi"/>
          <w:color w:val="333333"/>
          <w:sz w:val="22"/>
          <w:szCs w:val="22"/>
          <w:lang w:val="fr-BE" w:eastAsia="nl-BE"/>
        </w:rPr>
        <w:t>Innovative</w:t>
      </w:r>
      <w:proofErr w:type="spellEnd"/>
      <w:r w:rsidRPr="00EB4A27">
        <w:rPr>
          <w:rFonts w:asciiTheme="minorHAnsi" w:hAnsiTheme="minorHAnsi"/>
          <w:color w:val="333333"/>
          <w:sz w:val="22"/>
          <w:szCs w:val="22"/>
          <w:lang w:val="fr-BE" w:eastAsia="nl-BE"/>
        </w:rPr>
        <w:t xml:space="preserve"> </w:t>
      </w:r>
      <w:proofErr w:type="spellStart"/>
      <w:r w:rsidRPr="00EB4A27">
        <w:rPr>
          <w:rFonts w:asciiTheme="minorHAnsi" w:hAnsiTheme="minorHAnsi"/>
          <w:color w:val="333333"/>
          <w:sz w:val="22"/>
          <w:szCs w:val="22"/>
          <w:lang w:val="fr-BE" w:eastAsia="nl-BE"/>
        </w:rPr>
        <w:t>Company</w:t>
      </w:r>
      <w:proofErr w:type="spellEnd"/>
      <w:r w:rsidRPr="00EB4A27">
        <w:rPr>
          <w:rFonts w:asciiTheme="minorHAnsi" w:hAnsiTheme="minorHAnsi"/>
          <w:color w:val="333333"/>
          <w:sz w:val="22"/>
          <w:szCs w:val="22"/>
          <w:lang w:val="fr-BE" w:eastAsia="nl-BE"/>
        </w:rPr>
        <w:t>.</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23. Conformément à l’article 275</w:t>
      </w:r>
      <w:r w:rsidRPr="00EB4A27">
        <w:rPr>
          <w:rFonts w:asciiTheme="minorHAnsi" w:hAnsiTheme="minorHAnsi"/>
          <w:color w:val="333333"/>
          <w:sz w:val="22"/>
          <w:szCs w:val="22"/>
          <w:vertAlign w:val="superscript"/>
          <w:lang w:val="fr-BE" w:eastAsia="nl-BE"/>
        </w:rPr>
        <w:t>3</w:t>
      </w:r>
      <w:r w:rsidRPr="00EB4A27">
        <w:rPr>
          <w:rFonts w:asciiTheme="minorHAnsi" w:hAnsiTheme="minorHAnsi"/>
          <w:color w:val="333333"/>
          <w:sz w:val="22"/>
          <w:szCs w:val="22"/>
          <w:lang w:val="fr-BE" w:eastAsia="nl-BE"/>
        </w:rPr>
        <w:t>, § 1</w:t>
      </w:r>
      <w:r w:rsidRPr="00EB4A27">
        <w:rPr>
          <w:rFonts w:asciiTheme="minorHAnsi" w:hAnsiTheme="minorHAnsi"/>
          <w:color w:val="333333"/>
          <w:sz w:val="22"/>
          <w:szCs w:val="22"/>
          <w:vertAlign w:val="superscript"/>
          <w:lang w:val="fr-BE" w:eastAsia="nl-BE"/>
        </w:rPr>
        <w:t>er</w:t>
      </w:r>
      <w:r w:rsidRPr="00EB4A27">
        <w:rPr>
          <w:rFonts w:asciiTheme="minorHAnsi" w:hAnsiTheme="minorHAnsi"/>
          <w:color w:val="333333"/>
          <w:sz w:val="22"/>
          <w:szCs w:val="22"/>
          <w:lang w:val="fr-BE" w:eastAsia="nl-BE"/>
        </w:rPr>
        <w:t xml:space="preserve">, al. 5, CIR 92, il s’agit ici du personnel scientifique d’une Young </w:t>
      </w:r>
      <w:proofErr w:type="spellStart"/>
      <w:r w:rsidRPr="00EB4A27">
        <w:rPr>
          <w:rFonts w:asciiTheme="minorHAnsi" w:hAnsiTheme="minorHAnsi"/>
          <w:color w:val="333333"/>
          <w:sz w:val="22"/>
          <w:szCs w:val="22"/>
          <w:lang w:val="fr-BE" w:eastAsia="nl-BE"/>
        </w:rPr>
        <w:t>Innovative</w:t>
      </w:r>
      <w:proofErr w:type="spellEnd"/>
      <w:r w:rsidRPr="00EB4A27">
        <w:rPr>
          <w:rFonts w:asciiTheme="minorHAnsi" w:hAnsiTheme="minorHAnsi"/>
          <w:color w:val="333333"/>
          <w:sz w:val="22"/>
          <w:szCs w:val="22"/>
          <w:lang w:val="fr-BE" w:eastAsia="nl-BE"/>
        </w:rPr>
        <w:t xml:space="preserve"> </w:t>
      </w:r>
      <w:proofErr w:type="spellStart"/>
      <w:r w:rsidRPr="00EB4A27">
        <w:rPr>
          <w:rFonts w:asciiTheme="minorHAnsi" w:hAnsiTheme="minorHAnsi"/>
          <w:color w:val="333333"/>
          <w:sz w:val="22"/>
          <w:szCs w:val="22"/>
          <w:lang w:val="fr-BE" w:eastAsia="nl-BE"/>
        </w:rPr>
        <w:t>Company</w:t>
      </w:r>
      <w:proofErr w:type="spellEnd"/>
      <w:r w:rsidRPr="00EB4A27">
        <w:rPr>
          <w:rFonts w:asciiTheme="minorHAnsi" w:hAnsiTheme="minorHAnsi"/>
          <w:color w:val="333333"/>
          <w:sz w:val="22"/>
          <w:szCs w:val="22"/>
          <w:lang w:val="fr-BE" w:eastAsia="nl-BE"/>
        </w:rPr>
        <w:t xml:space="preserve"> constitué des chercheurs, des techniciens de recherche et des gestionnaires de projets de recherche et de développement, à l’exclusion du personnel administratif et commercial. Les notions de « chercheurs, de techniciens de recherche et de gestionnaires de projets de recherche et de développement » sont explicitées au point III, e) de l’annexe </w:t>
      </w:r>
      <w:proofErr w:type="spellStart"/>
      <w:r w:rsidRPr="00EB4A27">
        <w:rPr>
          <w:rFonts w:asciiTheme="minorHAnsi" w:hAnsiTheme="minorHAnsi"/>
          <w:color w:val="333333"/>
          <w:sz w:val="22"/>
          <w:szCs w:val="22"/>
          <w:lang w:val="fr-BE" w:eastAsia="nl-BE"/>
        </w:rPr>
        <w:t>III</w:t>
      </w:r>
      <w:r w:rsidRPr="00EB4A27">
        <w:rPr>
          <w:rFonts w:asciiTheme="minorHAnsi" w:hAnsiTheme="minorHAnsi"/>
          <w:i/>
          <w:iCs/>
          <w:color w:val="333333"/>
          <w:sz w:val="22"/>
          <w:szCs w:val="22"/>
          <w:lang w:val="fr-BE" w:eastAsia="nl-BE"/>
        </w:rPr>
        <w:t>ter</w:t>
      </w:r>
      <w:proofErr w:type="spellEnd"/>
      <w:r w:rsidRPr="00EB4A27">
        <w:rPr>
          <w:rFonts w:asciiTheme="minorHAnsi" w:hAnsiTheme="minorHAnsi"/>
          <w:color w:val="333333"/>
          <w:sz w:val="22"/>
          <w:szCs w:val="22"/>
          <w:lang w:val="fr-BE" w:eastAsia="nl-BE"/>
        </w:rPr>
        <w:t>, AR/CIR 92.</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24. Les chercheurs sont des scientifiques ou des ingénieurs travaillant à la conception ou la création de connaissances, de produits, de procédés, de méthodes ou de systèmes nouveaux. Sont assimilés aux ingénieurs, les salariés qui sans remplir les conditions de diplôme, ont acquis cette qualification au sein de leur entreprise ou, autrement dit, qui peuvent entrer en ligne de compte sur base d’une expérience professionnelle comparable.</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25. Les techniciens de recherche sont des personnes qui travaillent en étroite collaboration avec des chercheurs pour assurer le soutien technique indispensable aux travaux de recherche et de développement expérimental. Ces collaborateurs directs des scientifiques ou des ingénieurs doivent posséder une culture scientifique et technique reconnue dans le secteur d’activité par des diplômes ou des acquis professionnels et doivent être affectés directement à des opérations de recherche.</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26. Les gestionnaires de projets de recherche et de développement sont des personnes qui ont en charge l'organisation, la coordination et la planification du projet dans ses aspects administratif, juridique, financier et technologique(4).</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i/>
          <w:iCs/>
          <w:color w:val="333333"/>
          <w:sz w:val="22"/>
          <w:szCs w:val="22"/>
          <w:lang w:val="fr-BE" w:eastAsia="nl-BE"/>
        </w:rPr>
        <w:t xml:space="preserve">(4) Avis du Conseil d’Etat n° 39.420/1/2, Doc. </w:t>
      </w:r>
      <w:proofErr w:type="spellStart"/>
      <w:proofErr w:type="gramStart"/>
      <w:r w:rsidRPr="00EB4A27">
        <w:rPr>
          <w:rFonts w:asciiTheme="minorHAnsi" w:hAnsiTheme="minorHAnsi"/>
          <w:i/>
          <w:iCs/>
          <w:color w:val="333333"/>
          <w:sz w:val="22"/>
          <w:szCs w:val="22"/>
          <w:lang w:val="fr-BE" w:eastAsia="nl-BE"/>
        </w:rPr>
        <w:t>parl</w:t>
      </w:r>
      <w:proofErr w:type="spellEnd"/>
      <w:r w:rsidRPr="00EB4A27">
        <w:rPr>
          <w:rFonts w:asciiTheme="minorHAnsi" w:hAnsiTheme="minorHAnsi"/>
          <w:i/>
          <w:iCs/>
          <w:color w:val="333333"/>
          <w:sz w:val="22"/>
          <w:szCs w:val="22"/>
          <w:lang w:val="fr-BE" w:eastAsia="nl-BE"/>
        </w:rPr>
        <w:t>.,</w:t>
      </w:r>
      <w:proofErr w:type="gramEnd"/>
      <w:r w:rsidRPr="00EB4A27">
        <w:rPr>
          <w:rFonts w:asciiTheme="minorHAnsi" w:hAnsiTheme="minorHAnsi"/>
          <w:i/>
          <w:iCs/>
          <w:color w:val="333333"/>
          <w:sz w:val="22"/>
          <w:szCs w:val="22"/>
          <w:lang w:val="fr-BE" w:eastAsia="nl-BE"/>
        </w:rPr>
        <w:t xml:space="preserve"> Chambre, 2005-2006, n° 51-2128/001, p. 133 et 134.</w:t>
      </w:r>
      <w:r w:rsidRPr="00EB4A27">
        <w:rPr>
          <w:rFonts w:asciiTheme="minorHAnsi" w:hAnsiTheme="minorHAnsi"/>
          <w:color w:val="333333"/>
          <w:sz w:val="22"/>
          <w:szCs w:val="22"/>
          <w:lang w:val="fr-BE" w:eastAsia="nl-BE"/>
        </w:rPr>
        <w:t xml:space="preserve"> </w:t>
      </w:r>
    </w:p>
    <w:p w:rsidR="009D285E" w:rsidRDefault="009D285E" w:rsidP="00EB4A27">
      <w:pPr>
        <w:outlineLvl w:val="2"/>
        <w:rPr>
          <w:rFonts w:asciiTheme="minorHAnsi" w:hAnsiTheme="minorHAnsi"/>
          <w:b/>
          <w:bCs/>
          <w:color w:val="333333"/>
          <w:sz w:val="22"/>
          <w:szCs w:val="22"/>
          <w:lang w:val="fr-BE" w:eastAsia="nl-BE"/>
        </w:rPr>
      </w:pPr>
    </w:p>
    <w:p w:rsidR="00EB4A27" w:rsidRPr="00EB4A27" w:rsidRDefault="00EB4A27" w:rsidP="00EB4A27">
      <w:pPr>
        <w:outlineLvl w:val="2"/>
        <w:rPr>
          <w:rFonts w:asciiTheme="minorHAnsi" w:hAnsiTheme="minorHAnsi"/>
          <w:b/>
          <w:bCs/>
          <w:color w:val="333333"/>
          <w:sz w:val="22"/>
          <w:szCs w:val="22"/>
          <w:lang w:val="fr-BE" w:eastAsia="nl-BE"/>
        </w:rPr>
      </w:pPr>
      <w:r w:rsidRPr="00EB4A27">
        <w:rPr>
          <w:rFonts w:asciiTheme="minorHAnsi" w:hAnsiTheme="minorHAnsi"/>
          <w:b/>
          <w:bCs/>
          <w:color w:val="333333"/>
          <w:sz w:val="22"/>
          <w:szCs w:val="22"/>
          <w:lang w:val="fr-BE" w:eastAsia="nl-BE"/>
        </w:rPr>
        <w:t>Base de calcul</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27. Lorsqu’un travailleur est considéré comme un chercheur, un technicien de recherche ou un gestionnaire de projets de recherche et de développement, l’entièreté de ses rémunérations n’entrent pas nécessairement en ligne de compte pour le calcul de la dispense partielle de versement du précompte professionnel. Cette mesure de dispense ne concerne que le précompte professionnel dû sur les rémunérations du personnel scientifique qui est concerné par la recherche ou le développement. Autrement dit, les rémunérations du personnel scientifique n’entrent en considération pour la dispense partielle de versement du précompte professionnel qu’au prorata du temps effectivement consacré à la recherche ou au développement.</w:t>
      </w:r>
    </w:p>
    <w:p w:rsidR="009D285E" w:rsidRDefault="009D285E" w:rsidP="00EB4A27">
      <w:pPr>
        <w:outlineLvl w:val="1"/>
        <w:rPr>
          <w:rFonts w:asciiTheme="minorHAnsi" w:hAnsiTheme="minorHAnsi"/>
          <w:b/>
          <w:bCs/>
          <w:color w:val="333333"/>
          <w:sz w:val="22"/>
          <w:szCs w:val="22"/>
          <w:lang w:val="fr-BE" w:eastAsia="nl-BE"/>
        </w:rPr>
      </w:pPr>
      <w:r>
        <w:rPr>
          <w:rFonts w:asciiTheme="minorHAnsi" w:hAnsiTheme="minorHAnsi"/>
          <w:b/>
          <w:bCs/>
          <w:color w:val="333333"/>
          <w:sz w:val="22"/>
          <w:szCs w:val="22"/>
          <w:lang w:val="fr-BE" w:eastAsia="nl-BE"/>
        </w:rPr>
        <w:br/>
      </w:r>
    </w:p>
    <w:p w:rsidR="00EB4A27" w:rsidRPr="00EB4A27" w:rsidRDefault="009D285E" w:rsidP="00EB4A27">
      <w:pPr>
        <w:outlineLvl w:val="1"/>
        <w:rPr>
          <w:rFonts w:asciiTheme="minorHAnsi" w:hAnsiTheme="minorHAnsi"/>
          <w:b/>
          <w:bCs/>
          <w:color w:val="333333"/>
          <w:sz w:val="28"/>
          <w:szCs w:val="28"/>
          <w:lang w:val="fr-BE" w:eastAsia="nl-BE"/>
        </w:rPr>
      </w:pPr>
      <w:r>
        <w:rPr>
          <w:rFonts w:asciiTheme="minorHAnsi" w:hAnsiTheme="minorHAnsi"/>
          <w:b/>
          <w:bCs/>
          <w:color w:val="333333"/>
          <w:sz w:val="22"/>
          <w:szCs w:val="22"/>
          <w:lang w:val="fr-BE" w:eastAsia="nl-BE"/>
        </w:rPr>
        <w:br w:type="page"/>
      </w:r>
      <w:r w:rsidR="00EB4A27" w:rsidRPr="00EB4A27">
        <w:rPr>
          <w:rFonts w:asciiTheme="minorHAnsi" w:hAnsiTheme="minorHAnsi"/>
          <w:b/>
          <w:bCs/>
          <w:color w:val="333333"/>
          <w:sz w:val="28"/>
          <w:szCs w:val="28"/>
          <w:lang w:val="fr-BE" w:eastAsia="nl-BE"/>
        </w:rPr>
        <w:lastRenderedPageBreak/>
        <w:t>Entreprises qui paient ou attribuent des rémunérations à des chercheurs détenteurs d'un diplôme spécifique et qui sont engagés dans des projets ou programmes de recherche ou de développement</w:t>
      </w:r>
    </w:p>
    <w:p w:rsidR="009D285E" w:rsidRDefault="009D285E" w:rsidP="00EB4A27">
      <w:pPr>
        <w:outlineLvl w:val="2"/>
        <w:rPr>
          <w:rFonts w:asciiTheme="minorHAnsi" w:hAnsiTheme="minorHAnsi"/>
          <w:b/>
          <w:bCs/>
          <w:color w:val="333333"/>
          <w:sz w:val="22"/>
          <w:szCs w:val="22"/>
          <w:lang w:val="fr-BE" w:eastAsia="nl-BE"/>
        </w:rPr>
      </w:pPr>
    </w:p>
    <w:p w:rsidR="00EB4A27" w:rsidRPr="00EB4A27" w:rsidRDefault="00EB4A27" w:rsidP="00EB4A27">
      <w:pPr>
        <w:outlineLvl w:val="2"/>
        <w:rPr>
          <w:rFonts w:asciiTheme="minorHAnsi" w:hAnsiTheme="minorHAnsi"/>
          <w:b/>
          <w:bCs/>
          <w:color w:val="333333"/>
          <w:sz w:val="22"/>
          <w:szCs w:val="22"/>
          <w:lang w:val="fr-BE" w:eastAsia="nl-BE"/>
        </w:rPr>
      </w:pPr>
      <w:r w:rsidRPr="00EB4A27">
        <w:rPr>
          <w:rFonts w:asciiTheme="minorHAnsi" w:hAnsiTheme="minorHAnsi"/>
          <w:b/>
          <w:bCs/>
          <w:color w:val="333333"/>
          <w:sz w:val="22"/>
          <w:szCs w:val="22"/>
          <w:lang w:val="fr-BE" w:eastAsia="nl-BE"/>
        </w:rPr>
        <w:t>Conditions liées au diplôme</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28. Il ressort de l’article 275</w:t>
      </w:r>
      <w:r w:rsidRPr="00EB4A27">
        <w:rPr>
          <w:rFonts w:asciiTheme="minorHAnsi" w:hAnsiTheme="minorHAnsi"/>
          <w:color w:val="333333"/>
          <w:sz w:val="22"/>
          <w:szCs w:val="22"/>
          <w:vertAlign w:val="superscript"/>
          <w:lang w:val="fr-BE" w:eastAsia="nl-BE"/>
        </w:rPr>
        <w:t>3</w:t>
      </w:r>
      <w:r w:rsidRPr="00EB4A27">
        <w:rPr>
          <w:rFonts w:asciiTheme="minorHAnsi" w:hAnsiTheme="minorHAnsi"/>
          <w:color w:val="333333"/>
          <w:sz w:val="22"/>
          <w:szCs w:val="22"/>
          <w:lang w:val="fr-BE" w:eastAsia="nl-BE"/>
        </w:rPr>
        <w:t>, § 1</w:t>
      </w:r>
      <w:r w:rsidRPr="00EB4A27">
        <w:rPr>
          <w:rFonts w:asciiTheme="minorHAnsi" w:hAnsiTheme="minorHAnsi"/>
          <w:color w:val="333333"/>
          <w:sz w:val="22"/>
          <w:szCs w:val="22"/>
          <w:vertAlign w:val="superscript"/>
          <w:lang w:val="fr-BE" w:eastAsia="nl-BE"/>
        </w:rPr>
        <w:t>er</w:t>
      </w:r>
      <w:r w:rsidRPr="00EB4A27">
        <w:rPr>
          <w:rFonts w:asciiTheme="minorHAnsi" w:hAnsiTheme="minorHAnsi"/>
          <w:color w:val="333333"/>
          <w:sz w:val="22"/>
          <w:szCs w:val="22"/>
          <w:lang w:val="fr-BE" w:eastAsia="nl-BE"/>
        </w:rPr>
        <w:t>, al. 3, 3°, CIR 92, que la dispense partielle de versement de précompte professionnel est également octroyée aux entreprises qui paient ou attribuent des rémunérations à des chercheurs qui sont engagés dans des projets ou programmes de recherche ou de développement et qui sont détenteur d’un des diplômes énumérés à l’article 275</w:t>
      </w:r>
      <w:r w:rsidRPr="00EB4A27">
        <w:rPr>
          <w:rFonts w:asciiTheme="minorHAnsi" w:hAnsiTheme="minorHAnsi"/>
          <w:color w:val="333333"/>
          <w:sz w:val="22"/>
          <w:szCs w:val="22"/>
          <w:vertAlign w:val="superscript"/>
          <w:lang w:val="fr-BE" w:eastAsia="nl-BE"/>
        </w:rPr>
        <w:t>3</w:t>
      </w:r>
      <w:r w:rsidRPr="00EB4A27">
        <w:rPr>
          <w:rFonts w:asciiTheme="minorHAnsi" w:hAnsiTheme="minorHAnsi"/>
          <w:color w:val="333333"/>
          <w:sz w:val="22"/>
          <w:szCs w:val="22"/>
          <w:lang w:val="fr-BE" w:eastAsia="nl-BE"/>
        </w:rPr>
        <w:t>, § 2, CIR 92.</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 xml:space="preserve">29. Quant au contenu de la notion de « chercheur », il est renvoyé à la définition de chercheur dans le cadre des « Young </w:t>
      </w:r>
      <w:proofErr w:type="spellStart"/>
      <w:r w:rsidRPr="00EB4A27">
        <w:rPr>
          <w:rFonts w:asciiTheme="minorHAnsi" w:hAnsiTheme="minorHAnsi"/>
          <w:color w:val="333333"/>
          <w:sz w:val="22"/>
          <w:szCs w:val="22"/>
          <w:lang w:val="fr-BE" w:eastAsia="nl-BE"/>
        </w:rPr>
        <w:t>Innovative</w:t>
      </w:r>
      <w:proofErr w:type="spellEnd"/>
      <w:r w:rsidRPr="00EB4A27">
        <w:rPr>
          <w:rFonts w:asciiTheme="minorHAnsi" w:hAnsiTheme="minorHAnsi"/>
          <w:color w:val="333333"/>
          <w:sz w:val="22"/>
          <w:szCs w:val="22"/>
          <w:lang w:val="fr-BE" w:eastAsia="nl-BE"/>
        </w:rPr>
        <w:t xml:space="preserve"> </w:t>
      </w:r>
      <w:proofErr w:type="spellStart"/>
      <w:r w:rsidRPr="00EB4A27">
        <w:rPr>
          <w:rFonts w:asciiTheme="minorHAnsi" w:hAnsiTheme="minorHAnsi"/>
          <w:color w:val="333333"/>
          <w:sz w:val="22"/>
          <w:szCs w:val="22"/>
          <w:lang w:val="fr-BE" w:eastAsia="nl-BE"/>
        </w:rPr>
        <w:t>Companies</w:t>
      </w:r>
      <w:proofErr w:type="spellEnd"/>
      <w:r w:rsidRPr="00EB4A27">
        <w:rPr>
          <w:rFonts w:asciiTheme="minorHAnsi" w:hAnsiTheme="minorHAnsi"/>
          <w:color w:val="333333"/>
          <w:sz w:val="22"/>
          <w:szCs w:val="22"/>
          <w:lang w:val="fr-BE" w:eastAsia="nl-BE"/>
        </w:rPr>
        <w:t xml:space="preserve"> » qui figure au point III, e), al. 2 de l’annexe </w:t>
      </w:r>
      <w:proofErr w:type="spellStart"/>
      <w:r w:rsidRPr="00EB4A27">
        <w:rPr>
          <w:rFonts w:asciiTheme="minorHAnsi" w:hAnsiTheme="minorHAnsi"/>
          <w:color w:val="333333"/>
          <w:sz w:val="22"/>
          <w:szCs w:val="22"/>
          <w:lang w:val="fr-BE" w:eastAsia="nl-BE"/>
        </w:rPr>
        <w:t>III</w:t>
      </w:r>
      <w:r w:rsidRPr="00EB4A27">
        <w:rPr>
          <w:rFonts w:asciiTheme="minorHAnsi" w:hAnsiTheme="minorHAnsi"/>
          <w:i/>
          <w:iCs/>
          <w:color w:val="333333"/>
          <w:sz w:val="22"/>
          <w:szCs w:val="22"/>
          <w:lang w:val="fr-BE" w:eastAsia="nl-BE"/>
        </w:rPr>
        <w:t>ter</w:t>
      </w:r>
      <w:proofErr w:type="spellEnd"/>
      <w:r w:rsidRPr="00EB4A27">
        <w:rPr>
          <w:rFonts w:asciiTheme="minorHAnsi" w:hAnsiTheme="minorHAnsi"/>
          <w:i/>
          <w:iCs/>
          <w:color w:val="333333"/>
          <w:sz w:val="22"/>
          <w:szCs w:val="22"/>
          <w:lang w:val="fr-BE" w:eastAsia="nl-BE"/>
        </w:rPr>
        <w:t>,</w:t>
      </w:r>
      <w:r w:rsidRPr="00EB4A27">
        <w:rPr>
          <w:rFonts w:asciiTheme="minorHAnsi" w:hAnsiTheme="minorHAnsi"/>
          <w:color w:val="333333"/>
          <w:sz w:val="22"/>
          <w:szCs w:val="22"/>
          <w:lang w:val="fr-BE" w:eastAsia="nl-BE"/>
        </w:rPr>
        <w:t xml:space="preserve"> AR/CIR 92, étant entendu que le chercheur concerné doit être détenteur d’un des diplômes énumérés à l’article 275</w:t>
      </w:r>
      <w:r w:rsidRPr="00EB4A27">
        <w:rPr>
          <w:rFonts w:asciiTheme="minorHAnsi" w:hAnsiTheme="minorHAnsi"/>
          <w:color w:val="333333"/>
          <w:sz w:val="22"/>
          <w:szCs w:val="22"/>
          <w:vertAlign w:val="superscript"/>
          <w:lang w:val="fr-BE" w:eastAsia="nl-BE"/>
        </w:rPr>
        <w:t>3</w:t>
      </w:r>
      <w:r w:rsidRPr="00EB4A27">
        <w:rPr>
          <w:rFonts w:asciiTheme="minorHAnsi" w:hAnsiTheme="minorHAnsi"/>
          <w:color w:val="333333"/>
          <w:sz w:val="22"/>
          <w:szCs w:val="22"/>
          <w:lang w:val="fr-BE" w:eastAsia="nl-BE"/>
        </w:rPr>
        <w:t>, § 2, CIR 92.</w:t>
      </w:r>
    </w:p>
    <w:p w:rsidR="009D285E" w:rsidRDefault="009D285E" w:rsidP="00EB4A27">
      <w:pPr>
        <w:outlineLvl w:val="2"/>
        <w:rPr>
          <w:rFonts w:asciiTheme="minorHAnsi" w:hAnsiTheme="minorHAnsi"/>
          <w:b/>
          <w:bCs/>
          <w:color w:val="333333"/>
          <w:sz w:val="22"/>
          <w:szCs w:val="22"/>
          <w:lang w:val="fr-BE" w:eastAsia="nl-BE"/>
        </w:rPr>
      </w:pPr>
    </w:p>
    <w:p w:rsidR="00EB4A27" w:rsidRPr="00EB4A27" w:rsidRDefault="00EB4A27" w:rsidP="00EB4A27">
      <w:pPr>
        <w:outlineLvl w:val="2"/>
        <w:rPr>
          <w:rFonts w:asciiTheme="minorHAnsi" w:hAnsiTheme="minorHAnsi"/>
          <w:b/>
          <w:bCs/>
          <w:color w:val="333333"/>
          <w:sz w:val="22"/>
          <w:szCs w:val="22"/>
          <w:lang w:val="fr-BE" w:eastAsia="nl-BE"/>
        </w:rPr>
      </w:pPr>
      <w:r w:rsidRPr="00EB4A27">
        <w:rPr>
          <w:rFonts w:asciiTheme="minorHAnsi" w:hAnsiTheme="minorHAnsi"/>
          <w:b/>
          <w:bCs/>
          <w:color w:val="333333"/>
          <w:sz w:val="22"/>
          <w:szCs w:val="22"/>
          <w:lang w:val="fr-BE" w:eastAsia="nl-BE"/>
        </w:rPr>
        <w:t>Base de calcul</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30. Cette dispense partielle de versement de précompte professionnel ne peut être appliquée qu’au précompte professionnel dû sur les rémunérations des chercheurs qui sont afférentes à des travaux de recherche ou de développement effectués dans le cadre d’un ou de plusieurs projets ou programmes de recherche ou de développement. Autrement dit, les rémunérations des chercheurs n’entrent en considération pour cette mesure de dispense qu’au prorata du temps effectivement consacré à la recherche et/ou ou au développement dans le cadre d’un projet ou programme de recherche ou de développement.</w:t>
      </w:r>
    </w:p>
    <w:p w:rsidR="009D285E" w:rsidRDefault="009D285E" w:rsidP="00EB4A27">
      <w:pPr>
        <w:outlineLvl w:val="0"/>
        <w:rPr>
          <w:rFonts w:asciiTheme="minorHAnsi" w:hAnsiTheme="minorHAnsi"/>
          <w:b/>
          <w:bCs/>
          <w:color w:val="333333"/>
          <w:kern w:val="36"/>
          <w:sz w:val="22"/>
          <w:szCs w:val="22"/>
          <w:lang w:val="fr-BE" w:eastAsia="nl-BE"/>
        </w:rPr>
      </w:pPr>
    </w:p>
    <w:p w:rsidR="009D285E" w:rsidRDefault="009D285E" w:rsidP="00EB4A27">
      <w:pPr>
        <w:outlineLvl w:val="0"/>
        <w:rPr>
          <w:rFonts w:asciiTheme="minorHAnsi" w:hAnsiTheme="minorHAnsi"/>
          <w:b/>
          <w:bCs/>
          <w:color w:val="333333"/>
          <w:kern w:val="36"/>
          <w:sz w:val="22"/>
          <w:szCs w:val="22"/>
          <w:lang w:val="fr-BE" w:eastAsia="nl-BE"/>
        </w:rPr>
      </w:pPr>
    </w:p>
    <w:p w:rsidR="00EB4A27" w:rsidRPr="00EB4A27" w:rsidRDefault="00EB4A27" w:rsidP="00EB4A27">
      <w:pPr>
        <w:outlineLvl w:val="0"/>
        <w:rPr>
          <w:rFonts w:asciiTheme="minorHAnsi" w:hAnsiTheme="minorHAnsi"/>
          <w:b/>
          <w:bCs/>
          <w:color w:val="333333"/>
          <w:kern w:val="36"/>
          <w:sz w:val="28"/>
          <w:szCs w:val="28"/>
          <w:lang w:val="fr-BE" w:eastAsia="nl-BE"/>
        </w:rPr>
      </w:pPr>
      <w:r w:rsidRPr="00EB4A27">
        <w:rPr>
          <w:rFonts w:asciiTheme="minorHAnsi" w:hAnsiTheme="minorHAnsi"/>
          <w:b/>
          <w:bCs/>
          <w:color w:val="333333"/>
          <w:kern w:val="36"/>
          <w:sz w:val="28"/>
          <w:szCs w:val="28"/>
          <w:lang w:val="fr-BE" w:eastAsia="nl-BE"/>
        </w:rPr>
        <w:t>DECISIONS</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31. Les rémunérations des chercheurs assistants qui sont titulaires d’un baccalauréat professionnel entrent en considération pour l’application de l’article 275</w:t>
      </w:r>
      <w:r w:rsidRPr="00EB4A27">
        <w:rPr>
          <w:rFonts w:asciiTheme="minorHAnsi" w:hAnsiTheme="minorHAnsi"/>
          <w:color w:val="333333"/>
          <w:sz w:val="22"/>
          <w:szCs w:val="22"/>
          <w:vertAlign w:val="superscript"/>
          <w:lang w:val="fr-BE" w:eastAsia="nl-BE"/>
        </w:rPr>
        <w:t>3</w:t>
      </w:r>
      <w:r w:rsidRPr="00EB4A27">
        <w:rPr>
          <w:rFonts w:asciiTheme="minorHAnsi" w:hAnsiTheme="minorHAnsi"/>
          <w:color w:val="333333"/>
          <w:sz w:val="22"/>
          <w:szCs w:val="22"/>
          <w:lang w:val="fr-BE" w:eastAsia="nl-BE"/>
        </w:rPr>
        <w:t>, § 1</w:t>
      </w:r>
      <w:r w:rsidRPr="00EB4A27">
        <w:rPr>
          <w:rFonts w:asciiTheme="minorHAnsi" w:hAnsiTheme="minorHAnsi"/>
          <w:color w:val="333333"/>
          <w:sz w:val="22"/>
          <w:szCs w:val="22"/>
          <w:vertAlign w:val="superscript"/>
          <w:lang w:val="fr-BE" w:eastAsia="nl-BE"/>
        </w:rPr>
        <w:t>er</w:t>
      </w:r>
      <w:r w:rsidRPr="00EB4A27">
        <w:rPr>
          <w:rFonts w:asciiTheme="minorHAnsi" w:hAnsiTheme="minorHAnsi"/>
          <w:color w:val="333333"/>
          <w:sz w:val="22"/>
          <w:szCs w:val="22"/>
          <w:lang w:val="fr-BE" w:eastAsia="nl-BE"/>
        </w:rPr>
        <w:t>, al. 1</w:t>
      </w:r>
      <w:r w:rsidRPr="00EB4A27">
        <w:rPr>
          <w:rFonts w:asciiTheme="minorHAnsi" w:hAnsiTheme="minorHAnsi"/>
          <w:color w:val="333333"/>
          <w:sz w:val="22"/>
          <w:szCs w:val="22"/>
          <w:vertAlign w:val="superscript"/>
          <w:lang w:val="fr-BE" w:eastAsia="nl-BE"/>
        </w:rPr>
        <w:t>er</w:t>
      </w:r>
      <w:r w:rsidRPr="00EB4A27">
        <w:rPr>
          <w:rFonts w:asciiTheme="minorHAnsi" w:hAnsiTheme="minorHAnsi"/>
          <w:color w:val="333333"/>
          <w:sz w:val="22"/>
          <w:szCs w:val="22"/>
          <w:lang w:val="fr-BE" w:eastAsia="nl-BE"/>
        </w:rPr>
        <w:t xml:space="preserve"> et 2, CIR 92.</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32. Les rémunérations des chercheurs assistants et des chercheurs postdoctoraux visés à l’article 275</w:t>
      </w:r>
      <w:r w:rsidRPr="00EB4A27">
        <w:rPr>
          <w:rFonts w:asciiTheme="minorHAnsi" w:hAnsiTheme="minorHAnsi"/>
          <w:color w:val="333333"/>
          <w:sz w:val="22"/>
          <w:szCs w:val="22"/>
          <w:vertAlign w:val="superscript"/>
          <w:lang w:val="fr-BE" w:eastAsia="nl-BE"/>
        </w:rPr>
        <w:t>3</w:t>
      </w:r>
      <w:r w:rsidRPr="00EB4A27">
        <w:rPr>
          <w:rFonts w:asciiTheme="minorHAnsi" w:hAnsiTheme="minorHAnsi"/>
          <w:color w:val="333333"/>
          <w:sz w:val="22"/>
          <w:szCs w:val="22"/>
          <w:lang w:val="fr-BE" w:eastAsia="nl-BE"/>
        </w:rPr>
        <w:t>, § 1</w:t>
      </w:r>
      <w:r w:rsidRPr="00EB4A27">
        <w:rPr>
          <w:rFonts w:asciiTheme="minorHAnsi" w:hAnsiTheme="minorHAnsi"/>
          <w:color w:val="333333"/>
          <w:sz w:val="22"/>
          <w:szCs w:val="22"/>
          <w:vertAlign w:val="superscript"/>
          <w:lang w:val="fr-BE" w:eastAsia="nl-BE"/>
        </w:rPr>
        <w:t>er</w:t>
      </w:r>
      <w:r w:rsidRPr="00EB4A27">
        <w:rPr>
          <w:rFonts w:asciiTheme="minorHAnsi" w:hAnsiTheme="minorHAnsi"/>
          <w:color w:val="333333"/>
          <w:sz w:val="22"/>
          <w:szCs w:val="22"/>
          <w:lang w:val="fr-BE" w:eastAsia="nl-BE"/>
        </w:rPr>
        <w:t>, al. 1</w:t>
      </w:r>
      <w:r w:rsidRPr="00EB4A27">
        <w:rPr>
          <w:rFonts w:asciiTheme="minorHAnsi" w:hAnsiTheme="minorHAnsi"/>
          <w:color w:val="333333"/>
          <w:sz w:val="22"/>
          <w:szCs w:val="22"/>
          <w:vertAlign w:val="superscript"/>
          <w:lang w:val="fr-BE" w:eastAsia="nl-BE"/>
        </w:rPr>
        <w:t>er</w:t>
      </w:r>
      <w:r w:rsidRPr="00EB4A27">
        <w:rPr>
          <w:rFonts w:asciiTheme="minorHAnsi" w:hAnsiTheme="minorHAnsi"/>
          <w:color w:val="333333"/>
          <w:sz w:val="22"/>
          <w:szCs w:val="22"/>
          <w:lang w:val="fr-BE" w:eastAsia="nl-BE"/>
        </w:rPr>
        <w:t xml:space="preserve"> et 2, CIR 92 entrent totalement en considération pour la détermination de la dispense de versement de précompte professionnel. En revanche, la règle du prorata s’applique aux rémunérations des chercheurs et du personnel scientifique visés à l’article 275</w:t>
      </w:r>
      <w:r w:rsidRPr="00EB4A27">
        <w:rPr>
          <w:rFonts w:asciiTheme="minorHAnsi" w:hAnsiTheme="minorHAnsi"/>
          <w:color w:val="333333"/>
          <w:sz w:val="22"/>
          <w:szCs w:val="22"/>
          <w:vertAlign w:val="superscript"/>
          <w:lang w:val="fr-BE" w:eastAsia="nl-BE"/>
        </w:rPr>
        <w:t>3</w:t>
      </w:r>
      <w:r w:rsidRPr="00EB4A27">
        <w:rPr>
          <w:rFonts w:asciiTheme="minorHAnsi" w:hAnsiTheme="minorHAnsi"/>
          <w:color w:val="333333"/>
          <w:sz w:val="22"/>
          <w:szCs w:val="22"/>
          <w:lang w:val="fr-BE" w:eastAsia="nl-BE"/>
        </w:rPr>
        <w:t>, § 1</w:t>
      </w:r>
      <w:r w:rsidRPr="00EB4A27">
        <w:rPr>
          <w:rFonts w:asciiTheme="minorHAnsi" w:hAnsiTheme="minorHAnsi"/>
          <w:color w:val="333333"/>
          <w:sz w:val="22"/>
          <w:szCs w:val="22"/>
          <w:vertAlign w:val="superscript"/>
          <w:lang w:val="fr-BE" w:eastAsia="nl-BE"/>
        </w:rPr>
        <w:t>er</w:t>
      </w:r>
      <w:r w:rsidRPr="00EB4A27">
        <w:rPr>
          <w:rFonts w:asciiTheme="minorHAnsi" w:hAnsiTheme="minorHAnsi"/>
          <w:color w:val="333333"/>
          <w:sz w:val="22"/>
          <w:szCs w:val="22"/>
          <w:lang w:val="fr-BE" w:eastAsia="nl-BE"/>
        </w:rPr>
        <w:t>, al. 3, CIR 92</w:t>
      </w:r>
    </w:p>
    <w:p w:rsidR="00EB4A27" w:rsidRPr="00EB4A27" w:rsidRDefault="00EB4A27" w:rsidP="00EB4A27">
      <w:pPr>
        <w:outlineLvl w:val="0"/>
        <w:rPr>
          <w:rFonts w:asciiTheme="minorHAnsi" w:hAnsiTheme="minorHAnsi"/>
          <w:b/>
          <w:bCs/>
          <w:color w:val="333333"/>
          <w:kern w:val="36"/>
          <w:sz w:val="28"/>
          <w:szCs w:val="28"/>
          <w:lang w:val="fr-BE" w:eastAsia="nl-BE"/>
        </w:rPr>
      </w:pPr>
      <w:r w:rsidRPr="00EB4A27">
        <w:rPr>
          <w:rFonts w:asciiTheme="minorHAnsi" w:hAnsiTheme="minorHAnsi"/>
          <w:b/>
          <w:bCs/>
          <w:color w:val="333333"/>
          <w:kern w:val="36"/>
          <w:sz w:val="28"/>
          <w:szCs w:val="28"/>
          <w:lang w:val="fr-BE" w:eastAsia="nl-BE"/>
        </w:rPr>
        <w:t>TABLEAU RECAPITULATIF</w:t>
      </w:r>
    </w:p>
    <w:p w:rsidR="009D285E" w:rsidRDefault="009D285E" w:rsidP="00EB4A27">
      <w:pPr>
        <w:rPr>
          <w:rFonts w:asciiTheme="minorHAnsi" w:hAnsiTheme="minorHAnsi"/>
          <w:color w:val="333333"/>
          <w:sz w:val="22"/>
          <w:szCs w:val="22"/>
          <w:lang w:val="fr-BE" w:eastAsia="nl-BE"/>
        </w:rPr>
      </w:pP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33. Ce qui précède peut être synthétisé comme suit :</w:t>
      </w:r>
    </w:p>
    <w:tbl>
      <w:tblPr>
        <w:tblW w:w="9780" w:type="dxa"/>
        <w:tblCellSpacing w:w="0" w:type="dxa"/>
        <w:tblCellMar>
          <w:left w:w="0" w:type="dxa"/>
          <w:right w:w="0" w:type="dxa"/>
        </w:tblCellMar>
        <w:tblLook w:val="04A0" w:firstRow="1" w:lastRow="0" w:firstColumn="1" w:lastColumn="0" w:noHBand="0" w:noVBand="1"/>
      </w:tblPr>
      <w:tblGrid>
        <w:gridCol w:w="1697"/>
        <w:gridCol w:w="1427"/>
        <w:gridCol w:w="1698"/>
        <w:gridCol w:w="1412"/>
        <w:gridCol w:w="1698"/>
        <w:gridCol w:w="1848"/>
      </w:tblGrid>
      <w:tr w:rsidR="00EB4A27" w:rsidRPr="00EB4A27" w:rsidTr="00EB4A27">
        <w:trPr>
          <w:tblCellSpacing w:w="0" w:type="dxa"/>
        </w:trPr>
        <w:tc>
          <w:tcPr>
            <w:tcW w:w="1695" w:type="dxa"/>
            <w:hideMark/>
          </w:tcPr>
          <w:p w:rsidR="00EB4A27" w:rsidRPr="00EB4A27" w:rsidRDefault="00EB4A27" w:rsidP="00EB4A27">
            <w:pPr>
              <w:rPr>
                <w:rFonts w:asciiTheme="minorHAnsi" w:hAnsiTheme="minorHAnsi"/>
                <w:color w:val="333333"/>
                <w:sz w:val="22"/>
                <w:szCs w:val="22"/>
                <w:lang w:eastAsia="nl-BE"/>
              </w:rPr>
            </w:pPr>
            <w:proofErr w:type="spellStart"/>
            <w:r w:rsidRPr="00EB4A27">
              <w:rPr>
                <w:rFonts w:asciiTheme="minorHAnsi" w:hAnsiTheme="minorHAnsi"/>
                <w:b/>
                <w:bCs/>
                <w:color w:val="333333"/>
                <w:sz w:val="22"/>
                <w:szCs w:val="22"/>
                <w:lang w:eastAsia="nl-BE"/>
              </w:rPr>
              <w:t>Débiteur</w:t>
            </w:r>
            <w:proofErr w:type="spellEnd"/>
            <w:r w:rsidRPr="00EB4A27">
              <w:rPr>
                <w:rFonts w:asciiTheme="minorHAnsi" w:hAnsiTheme="minorHAnsi"/>
                <w:b/>
                <w:bCs/>
                <w:color w:val="333333"/>
                <w:sz w:val="22"/>
                <w:szCs w:val="22"/>
                <w:lang w:eastAsia="nl-BE"/>
              </w:rPr>
              <w:t xml:space="preserve"> du </w:t>
            </w:r>
            <w:proofErr w:type="spellStart"/>
            <w:r w:rsidRPr="00EB4A27">
              <w:rPr>
                <w:rFonts w:asciiTheme="minorHAnsi" w:hAnsiTheme="minorHAnsi"/>
                <w:b/>
                <w:bCs/>
                <w:color w:val="333333"/>
                <w:sz w:val="22"/>
                <w:szCs w:val="22"/>
                <w:lang w:eastAsia="nl-BE"/>
              </w:rPr>
              <w:t>précompte</w:t>
            </w:r>
            <w:proofErr w:type="spellEnd"/>
            <w:r w:rsidRPr="00EB4A27">
              <w:rPr>
                <w:rFonts w:asciiTheme="minorHAnsi" w:hAnsiTheme="minorHAnsi"/>
                <w:b/>
                <w:bCs/>
                <w:color w:val="333333"/>
                <w:sz w:val="22"/>
                <w:szCs w:val="22"/>
                <w:lang w:eastAsia="nl-BE"/>
              </w:rPr>
              <w:t xml:space="preserve"> </w:t>
            </w:r>
            <w:proofErr w:type="spellStart"/>
            <w:r w:rsidRPr="00EB4A27">
              <w:rPr>
                <w:rFonts w:asciiTheme="minorHAnsi" w:hAnsiTheme="minorHAnsi"/>
                <w:b/>
                <w:bCs/>
                <w:color w:val="333333"/>
                <w:sz w:val="22"/>
                <w:szCs w:val="22"/>
                <w:lang w:eastAsia="nl-BE"/>
              </w:rPr>
              <w:t>professionnel</w:t>
            </w:r>
            <w:proofErr w:type="spellEnd"/>
            <w:r w:rsidRPr="00EB4A27">
              <w:rPr>
                <w:rFonts w:asciiTheme="minorHAnsi" w:hAnsiTheme="minorHAnsi"/>
                <w:color w:val="333333"/>
                <w:sz w:val="22"/>
                <w:szCs w:val="22"/>
                <w:lang w:eastAsia="nl-BE"/>
              </w:rPr>
              <w:t xml:space="preserve"> </w:t>
            </w:r>
          </w:p>
        </w:tc>
        <w:tc>
          <w:tcPr>
            <w:tcW w:w="1425" w:type="dxa"/>
            <w:hideMark/>
          </w:tcPr>
          <w:p w:rsidR="00EB4A27" w:rsidRPr="00EB4A27" w:rsidRDefault="00EB4A27" w:rsidP="00EB4A27">
            <w:pPr>
              <w:rPr>
                <w:rFonts w:asciiTheme="minorHAnsi" w:hAnsiTheme="minorHAnsi"/>
                <w:color w:val="333333"/>
                <w:sz w:val="22"/>
                <w:szCs w:val="22"/>
                <w:lang w:eastAsia="nl-BE"/>
              </w:rPr>
            </w:pPr>
            <w:r w:rsidRPr="00EB4A27">
              <w:rPr>
                <w:rFonts w:asciiTheme="minorHAnsi" w:hAnsiTheme="minorHAnsi"/>
                <w:b/>
                <w:bCs/>
                <w:color w:val="333333"/>
                <w:sz w:val="22"/>
                <w:szCs w:val="22"/>
                <w:lang w:eastAsia="nl-BE"/>
              </w:rPr>
              <w:t>Fondement (CIR 92)</w:t>
            </w:r>
            <w:r w:rsidRPr="00EB4A27">
              <w:rPr>
                <w:rFonts w:asciiTheme="minorHAnsi" w:hAnsiTheme="minorHAnsi"/>
                <w:color w:val="333333"/>
                <w:sz w:val="22"/>
                <w:szCs w:val="22"/>
                <w:lang w:eastAsia="nl-BE"/>
              </w:rPr>
              <w:t xml:space="preserve"> </w:t>
            </w:r>
          </w:p>
        </w:tc>
        <w:tc>
          <w:tcPr>
            <w:tcW w:w="1695" w:type="dxa"/>
            <w:hideMark/>
          </w:tcPr>
          <w:p w:rsidR="00EB4A27" w:rsidRPr="00EB4A27" w:rsidRDefault="00EB4A27" w:rsidP="00EB4A27">
            <w:pPr>
              <w:rPr>
                <w:rFonts w:asciiTheme="minorHAnsi" w:hAnsiTheme="minorHAnsi"/>
                <w:color w:val="333333"/>
                <w:sz w:val="22"/>
                <w:szCs w:val="22"/>
                <w:lang w:eastAsia="nl-BE"/>
              </w:rPr>
            </w:pPr>
            <w:proofErr w:type="spellStart"/>
            <w:r w:rsidRPr="00EB4A27">
              <w:rPr>
                <w:rFonts w:asciiTheme="minorHAnsi" w:hAnsiTheme="minorHAnsi"/>
                <w:b/>
                <w:bCs/>
                <w:color w:val="333333"/>
                <w:sz w:val="22"/>
                <w:szCs w:val="22"/>
                <w:lang w:eastAsia="nl-BE"/>
              </w:rPr>
              <w:t>Chercheurs</w:t>
            </w:r>
            <w:proofErr w:type="spellEnd"/>
            <w:r w:rsidRPr="00EB4A27">
              <w:rPr>
                <w:rFonts w:asciiTheme="minorHAnsi" w:hAnsiTheme="minorHAnsi"/>
                <w:b/>
                <w:bCs/>
                <w:color w:val="333333"/>
                <w:sz w:val="22"/>
                <w:szCs w:val="22"/>
                <w:lang w:eastAsia="nl-BE"/>
              </w:rPr>
              <w:t xml:space="preserve"> </w:t>
            </w:r>
            <w:proofErr w:type="spellStart"/>
            <w:r w:rsidRPr="00EB4A27">
              <w:rPr>
                <w:rFonts w:asciiTheme="minorHAnsi" w:hAnsiTheme="minorHAnsi"/>
                <w:b/>
                <w:bCs/>
                <w:color w:val="333333"/>
                <w:sz w:val="22"/>
                <w:szCs w:val="22"/>
                <w:lang w:eastAsia="nl-BE"/>
              </w:rPr>
              <w:t>visés</w:t>
            </w:r>
            <w:proofErr w:type="spellEnd"/>
            <w:r w:rsidRPr="00EB4A27">
              <w:rPr>
                <w:rFonts w:asciiTheme="minorHAnsi" w:hAnsiTheme="minorHAnsi"/>
                <w:color w:val="333333"/>
                <w:sz w:val="22"/>
                <w:szCs w:val="22"/>
                <w:lang w:eastAsia="nl-BE"/>
              </w:rPr>
              <w:t xml:space="preserve"> </w:t>
            </w:r>
          </w:p>
        </w:tc>
        <w:tc>
          <w:tcPr>
            <w:tcW w:w="1410" w:type="dxa"/>
            <w:hideMark/>
          </w:tcPr>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b/>
                <w:bCs/>
                <w:color w:val="333333"/>
                <w:sz w:val="22"/>
                <w:szCs w:val="22"/>
                <w:lang w:val="fr-BE" w:eastAsia="nl-BE"/>
              </w:rPr>
              <w:t>Définition de chercheur dans le CIR 92 ou l’AR/CIR 92</w:t>
            </w:r>
            <w:r w:rsidRPr="00EB4A27">
              <w:rPr>
                <w:rFonts w:asciiTheme="minorHAnsi" w:hAnsiTheme="minorHAnsi"/>
                <w:color w:val="333333"/>
                <w:sz w:val="22"/>
                <w:szCs w:val="22"/>
                <w:lang w:val="fr-BE" w:eastAsia="nl-BE"/>
              </w:rPr>
              <w:t xml:space="preserve"> </w:t>
            </w:r>
          </w:p>
        </w:tc>
        <w:tc>
          <w:tcPr>
            <w:tcW w:w="1695" w:type="dxa"/>
            <w:hideMark/>
          </w:tcPr>
          <w:p w:rsidR="00EB4A27" w:rsidRPr="00EB4A27" w:rsidRDefault="00EB4A27" w:rsidP="00EB4A27">
            <w:pPr>
              <w:rPr>
                <w:rFonts w:asciiTheme="minorHAnsi" w:hAnsiTheme="minorHAnsi"/>
                <w:color w:val="333333"/>
                <w:sz w:val="22"/>
                <w:szCs w:val="22"/>
                <w:lang w:eastAsia="nl-BE"/>
              </w:rPr>
            </w:pPr>
            <w:proofErr w:type="spellStart"/>
            <w:r w:rsidRPr="00EB4A27">
              <w:rPr>
                <w:rFonts w:asciiTheme="minorHAnsi" w:hAnsiTheme="minorHAnsi"/>
                <w:b/>
                <w:bCs/>
                <w:color w:val="333333"/>
                <w:sz w:val="22"/>
                <w:szCs w:val="22"/>
                <w:lang w:eastAsia="nl-BE"/>
              </w:rPr>
              <w:t>Conditions</w:t>
            </w:r>
            <w:proofErr w:type="spellEnd"/>
            <w:r w:rsidRPr="00EB4A27">
              <w:rPr>
                <w:rFonts w:asciiTheme="minorHAnsi" w:hAnsiTheme="minorHAnsi"/>
                <w:b/>
                <w:bCs/>
                <w:color w:val="333333"/>
                <w:sz w:val="22"/>
                <w:szCs w:val="22"/>
                <w:lang w:eastAsia="nl-BE"/>
              </w:rPr>
              <w:t xml:space="preserve"> </w:t>
            </w:r>
            <w:proofErr w:type="spellStart"/>
            <w:r w:rsidRPr="00EB4A27">
              <w:rPr>
                <w:rFonts w:asciiTheme="minorHAnsi" w:hAnsiTheme="minorHAnsi"/>
                <w:b/>
                <w:bCs/>
                <w:color w:val="333333"/>
                <w:sz w:val="22"/>
                <w:szCs w:val="22"/>
                <w:lang w:eastAsia="nl-BE"/>
              </w:rPr>
              <w:t>liées</w:t>
            </w:r>
            <w:proofErr w:type="spellEnd"/>
            <w:r w:rsidRPr="00EB4A27">
              <w:rPr>
                <w:rFonts w:asciiTheme="minorHAnsi" w:hAnsiTheme="minorHAnsi"/>
                <w:b/>
                <w:bCs/>
                <w:color w:val="333333"/>
                <w:sz w:val="22"/>
                <w:szCs w:val="22"/>
                <w:lang w:eastAsia="nl-BE"/>
              </w:rPr>
              <w:t xml:space="preserve"> au </w:t>
            </w:r>
            <w:proofErr w:type="spellStart"/>
            <w:r w:rsidRPr="00EB4A27">
              <w:rPr>
                <w:rFonts w:asciiTheme="minorHAnsi" w:hAnsiTheme="minorHAnsi"/>
                <w:b/>
                <w:bCs/>
                <w:color w:val="333333"/>
                <w:sz w:val="22"/>
                <w:szCs w:val="22"/>
                <w:lang w:eastAsia="nl-BE"/>
              </w:rPr>
              <w:t>diplôme</w:t>
            </w:r>
            <w:proofErr w:type="spellEnd"/>
            <w:r w:rsidRPr="00EB4A27">
              <w:rPr>
                <w:rFonts w:asciiTheme="minorHAnsi" w:hAnsiTheme="minorHAnsi"/>
                <w:color w:val="333333"/>
                <w:sz w:val="22"/>
                <w:szCs w:val="22"/>
                <w:lang w:eastAsia="nl-BE"/>
              </w:rPr>
              <w:t xml:space="preserve"> </w:t>
            </w:r>
          </w:p>
        </w:tc>
        <w:tc>
          <w:tcPr>
            <w:tcW w:w="1845" w:type="dxa"/>
            <w:hideMark/>
          </w:tcPr>
          <w:p w:rsidR="00EB4A27" w:rsidRPr="00EB4A27" w:rsidRDefault="00EB4A27" w:rsidP="00EB4A27">
            <w:pPr>
              <w:rPr>
                <w:rFonts w:asciiTheme="minorHAnsi" w:hAnsiTheme="minorHAnsi"/>
                <w:color w:val="333333"/>
                <w:sz w:val="22"/>
                <w:szCs w:val="22"/>
                <w:lang w:eastAsia="nl-BE"/>
              </w:rPr>
            </w:pPr>
            <w:proofErr w:type="spellStart"/>
            <w:r w:rsidRPr="00EB4A27">
              <w:rPr>
                <w:rFonts w:asciiTheme="minorHAnsi" w:hAnsiTheme="minorHAnsi"/>
                <w:b/>
                <w:bCs/>
                <w:color w:val="333333"/>
                <w:sz w:val="22"/>
                <w:szCs w:val="22"/>
                <w:lang w:eastAsia="nl-BE"/>
              </w:rPr>
              <w:t>Rémunérations</w:t>
            </w:r>
            <w:proofErr w:type="spellEnd"/>
            <w:r w:rsidRPr="00EB4A27">
              <w:rPr>
                <w:rFonts w:asciiTheme="minorHAnsi" w:hAnsiTheme="minorHAnsi"/>
                <w:b/>
                <w:bCs/>
                <w:color w:val="333333"/>
                <w:sz w:val="22"/>
                <w:szCs w:val="22"/>
                <w:lang w:eastAsia="nl-BE"/>
              </w:rPr>
              <w:t xml:space="preserve"> </w:t>
            </w:r>
            <w:proofErr w:type="spellStart"/>
            <w:r w:rsidRPr="00EB4A27">
              <w:rPr>
                <w:rFonts w:asciiTheme="minorHAnsi" w:hAnsiTheme="minorHAnsi"/>
                <w:b/>
                <w:bCs/>
                <w:color w:val="333333"/>
                <w:sz w:val="22"/>
                <w:szCs w:val="22"/>
                <w:lang w:eastAsia="nl-BE"/>
              </w:rPr>
              <w:t>visées</w:t>
            </w:r>
            <w:proofErr w:type="spellEnd"/>
            <w:r w:rsidRPr="00EB4A27">
              <w:rPr>
                <w:rFonts w:asciiTheme="minorHAnsi" w:hAnsiTheme="minorHAnsi"/>
                <w:color w:val="333333"/>
                <w:sz w:val="22"/>
                <w:szCs w:val="22"/>
                <w:lang w:eastAsia="nl-BE"/>
              </w:rPr>
              <w:t xml:space="preserve"> </w:t>
            </w:r>
          </w:p>
        </w:tc>
      </w:tr>
      <w:tr w:rsidR="00EB4A27" w:rsidRPr="00EB4A27" w:rsidTr="00EB4A27">
        <w:trPr>
          <w:tblCellSpacing w:w="0" w:type="dxa"/>
        </w:trPr>
        <w:tc>
          <w:tcPr>
            <w:tcW w:w="1695" w:type="dxa"/>
            <w:vMerge w:val="restart"/>
            <w:hideMark/>
          </w:tcPr>
          <w:p w:rsidR="00EB4A27" w:rsidRPr="00EB4A27" w:rsidRDefault="00EB4A27" w:rsidP="00EB4A27">
            <w:pPr>
              <w:rPr>
                <w:rFonts w:asciiTheme="minorHAnsi" w:hAnsiTheme="minorHAnsi"/>
                <w:color w:val="333333"/>
                <w:sz w:val="22"/>
                <w:szCs w:val="22"/>
                <w:lang w:eastAsia="nl-BE"/>
              </w:rPr>
            </w:pPr>
            <w:proofErr w:type="spellStart"/>
            <w:r w:rsidRPr="00EB4A27">
              <w:rPr>
                <w:rFonts w:asciiTheme="minorHAnsi" w:hAnsiTheme="minorHAnsi"/>
                <w:color w:val="333333"/>
                <w:sz w:val="22"/>
                <w:szCs w:val="22"/>
                <w:lang w:eastAsia="nl-BE"/>
              </w:rPr>
              <w:t>Universités</w:t>
            </w:r>
            <w:proofErr w:type="spellEnd"/>
            <w:r w:rsidRPr="00EB4A27">
              <w:rPr>
                <w:rFonts w:asciiTheme="minorHAnsi" w:hAnsiTheme="minorHAnsi"/>
                <w:color w:val="333333"/>
                <w:sz w:val="22"/>
                <w:szCs w:val="22"/>
                <w:lang w:eastAsia="nl-BE"/>
              </w:rPr>
              <w:t xml:space="preserve"> et </w:t>
            </w:r>
            <w:proofErr w:type="spellStart"/>
            <w:r w:rsidRPr="00EB4A27">
              <w:rPr>
                <w:rFonts w:asciiTheme="minorHAnsi" w:hAnsiTheme="minorHAnsi"/>
                <w:color w:val="333333"/>
                <w:sz w:val="22"/>
                <w:szCs w:val="22"/>
                <w:lang w:eastAsia="nl-BE"/>
              </w:rPr>
              <w:t>hautes</w:t>
            </w:r>
            <w:proofErr w:type="spellEnd"/>
            <w:r w:rsidRPr="00EB4A27">
              <w:rPr>
                <w:rFonts w:asciiTheme="minorHAnsi" w:hAnsiTheme="minorHAnsi"/>
                <w:color w:val="333333"/>
                <w:sz w:val="22"/>
                <w:szCs w:val="22"/>
                <w:lang w:eastAsia="nl-BE"/>
              </w:rPr>
              <w:t xml:space="preserve"> </w:t>
            </w:r>
            <w:proofErr w:type="spellStart"/>
            <w:r w:rsidRPr="00EB4A27">
              <w:rPr>
                <w:rFonts w:asciiTheme="minorHAnsi" w:hAnsiTheme="minorHAnsi"/>
                <w:color w:val="333333"/>
                <w:sz w:val="22"/>
                <w:szCs w:val="22"/>
                <w:lang w:eastAsia="nl-BE"/>
              </w:rPr>
              <w:t>écoles</w:t>
            </w:r>
            <w:proofErr w:type="spellEnd"/>
          </w:p>
        </w:tc>
        <w:tc>
          <w:tcPr>
            <w:tcW w:w="1425" w:type="dxa"/>
            <w:vMerge w:val="restart"/>
            <w:hideMark/>
          </w:tcPr>
          <w:p w:rsidR="00EB4A27" w:rsidRPr="00EB4A27" w:rsidRDefault="00EB4A27" w:rsidP="00EB4A27">
            <w:pPr>
              <w:rPr>
                <w:rFonts w:asciiTheme="minorHAnsi" w:hAnsiTheme="minorHAnsi"/>
                <w:color w:val="333333"/>
                <w:sz w:val="22"/>
                <w:szCs w:val="22"/>
                <w:lang w:eastAsia="nl-BE"/>
              </w:rPr>
            </w:pPr>
            <w:r w:rsidRPr="00EB4A27">
              <w:rPr>
                <w:rFonts w:asciiTheme="minorHAnsi" w:hAnsiTheme="minorHAnsi"/>
                <w:color w:val="333333"/>
                <w:sz w:val="22"/>
                <w:szCs w:val="22"/>
                <w:lang w:eastAsia="nl-BE"/>
              </w:rPr>
              <w:t>275</w:t>
            </w:r>
            <w:r w:rsidRPr="00EB4A27">
              <w:rPr>
                <w:rFonts w:asciiTheme="minorHAnsi" w:hAnsiTheme="minorHAnsi"/>
                <w:color w:val="333333"/>
                <w:sz w:val="22"/>
                <w:szCs w:val="22"/>
                <w:vertAlign w:val="superscript"/>
                <w:lang w:eastAsia="nl-BE"/>
              </w:rPr>
              <w:t>3</w:t>
            </w:r>
            <w:r w:rsidRPr="00EB4A27">
              <w:rPr>
                <w:rFonts w:asciiTheme="minorHAnsi" w:hAnsiTheme="minorHAnsi"/>
                <w:color w:val="333333"/>
                <w:sz w:val="22"/>
                <w:szCs w:val="22"/>
                <w:lang w:eastAsia="nl-BE"/>
              </w:rPr>
              <w:t>, § 1</w:t>
            </w:r>
            <w:r w:rsidRPr="00EB4A27">
              <w:rPr>
                <w:rFonts w:asciiTheme="minorHAnsi" w:hAnsiTheme="minorHAnsi"/>
                <w:color w:val="333333"/>
                <w:sz w:val="22"/>
                <w:szCs w:val="22"/>
                <w:vertAlign w:val="superscript"/>
                <w:lang w:eastAsia="nl-BE"/>
              </w:rPr>
              <w:t>er</w:t>
            </w:r>
            <w:r w:rsidRPr="00EB4A27">
              <w:rPr>
                <w:rFonts w:asciiTheme="minorHAnsi" w:hAnsiTheme="minorHAnsi"/>
                <w:color w:val="333333"/>
                <w:sz w:val="22"/>
                <w:szCs w:val="22"/>
                <w:lang w:eastAsia="nl-BE"/>
              </w:rPr>
              <w:t>, al. 1</w:t>
            </w:r>
            <w:r w:rsidRPr="00EB4A27">
              <w:rPr>
                <w:rFonts w:asciiTheme="minorHAnsi" w:hAnsiTheme="minorHAnsi"/>
                <w:color w:val="333333"/>
                <w:sz w:val="22"/>
                <w:szCs w:val="22"/>
                <w:vertAlign w:val="superscript"/>
                <w:lang w:eastAsia="nl-BE"/>
              </w:rPr>
              <w:t>er</w:t>
            </w:r>
            <w:r w:rsidRPr="00EB4A27">
              <w:rPr>
                <w:rFonts w:asciiTheme="minorHAnsi" w:hAnsiTheme="minorHAnsi"/>
                <w:color w:val="333333"/>
                <w:sz w:val="22"/>
                <w:szCs w:val="22"/>
                <w:lang w:eastAsia="nl-BE"/>
              </w:rPr>
              <w:t xml:space="preserve"> </w:t>
            </w:r>
          </w:p>
        </w:tc>
        <w:tc>
          <w:tcPr>
            <w:tcW w:w="1695" w:type="dxa"/>
            <w:hideMark/>
          </w:tcPr>
          <w:p w:rsidR="00EB4A27" w:rsidRPr="00EB4A27" w:rsidRDefault="00EB4A27" w:rsidP="00EB4A27">
            <w:pPr>
              <w:rPr>
                <w:rFonts w:asciiTheme="minorHAnsi" w:hAnsiTheme="minorHAnsi"/>
                <w:color w:val="333333"/>
                <w:sz w:val="22"/>
                <w:szCs w:val="22"/>
                <w:lang w:eastAsia="nl-BE"/>
              </w:rPr>
            </w:pPr>
            <w:proofErr w:type="spellStart"/>
            <w:r w:rsidRPr="00EB4A27">
              <w:rPr>
                <w:rFonts w:asciiTheme="minorHAnsi" w:hAnsiTheme="minorHAnsi"/>
                <w:color w:val="333333"/>
                <w:sz w:val="22"/>
                <w:szCs w:val="22"/>
                <w:lang w:eastAsia="nl-BE"/>
              </w:rPr>
              <w:t>Chercheurs</w:t>
            </w:r>
            <w:proofErr w:type="spellEnd"/>
            <w:r w:rsidRPr="00EB4A27">
              <w:rPr>
                <w:rFonts w:asciiTheme="minorHAnsi" w:hAnsiTheme="minorHAnsi"/>
                <w:color w:val="333333"/>
                <w:sz w:val="22"/>
                <w:szCs w:val="22"/>
                <w:lang w:eastAsia="nl-BE"/>
              </w:rPr>
              <w:t xml:space="preserve"> </w:t>
            </w:r>
            <w:proofErr w:type="spellStart"/>
            <w:r w:rsidRPr="00EB4A27">
              <w:rPr>
                <w:rFonts w:asciiTheme="minorHAnsi" w:hAnsiTheme="minorHAnsi"/>
                <w:color w:val="333333"/>
                <w:sz w:val="22"/>
                <w:szCs w:val="22"/>
                <w:lang w:eastAsia="nl-BE"/>
              </w:rPr>
              <w:t>assistants</w:t>
            </w:r>
            <w:proofErr w:type="spellEnd"/>
          </w:p>
        </w:tc>
        <w:tc>
          <w:tcPr>
            <w:tcW w:w="1410" w:type="dxa"/>
            <w:hideMark/>
          </w:tcPr>
          <w:p w:rsidR="00EB4A27" w:rsidRPr="00EB4A27" w:rsidRDefault="00EB4A27" w:rsidP="00EB4A27">
            <w:pPr>
              <w:rPr>
                <w:rFonts w:asciiTheme="minorHAnsi" w:hAnsiTheme="minorHAnsi"/>
                <w:color w:val="333333"/>
                <w:sz w:val="22"/>
                <w:szCs w:val="22"/>
                <w:lang w:eastAsia="nl-BE"/>
              </w:rPr>
            </w:pPr>
            <w:r w:rsidRPr="00EB4A27">
              <w:rPr>
                <w:rFonts w:asciiTheme="minorHAnsi" w:hAnsiTheme="minorHAnsi"/>
                <w:color w:val="333333"/>
                <w:sz w:val="22"/>
                <w:szCs w:val="22"/>
                <w:lang w:eastAsia="nl-BE"/>
              </w:rPr>
              <w:t>Non</w:t>
            </w:r>
          </w:p>
        </w:tc>
        <w:tc>
          <w:tcPr>
            <w:tcW w:w="1695" w:type="dxa"/>
            <w:hideMark/>
          </w:tcPr>
          <w:p w:rsidR="00EB4A27" w:rsidRPr="00EB4A27" w:rsidRDefault="00EB4A27" w:rsidP="00EB4A27">
            <w:pPr>
              <w:rPr>
                <w:rFonts w:asciiTheme="minorHAnsi" w:hAnsiTheme="minorHAnsi"/>
                <w:color w:val="333333"/>
                <w:sz w:val="22"/>
                <w:szCs w:val="22"/>
                <w:lang w:eastAsia="nl-BE"/>
              </w:rPr>
            </w:pPr>
            <w:proofErr w:type="spellStart"/>
            <w:r w:rsidRPr="00EB4A27">
              <w:rPr>
                <w:rFonts w:asciiTheme="minorHAnsi" w:hAnsiTheme="minorHAnsi"/>
                <w:color w:val="333333"/>
                <w:sz w:val="22"/>
                <w:szCs w:val="22"/>
                <w:lang w:eastAsia="nl-BE"/>
              </w:rPr>
              <w:t>Diplôme</w:t>
            </w:r>
            <w:proofErr w:type="spellEnd"/>
            <w:r w:rsidRPr="00EB4A27">
              <w:rPr>
                <w:rFonts w:asciiTheme="minorHAnsi" w:hAnsiTheme="minorHAnsi"/>
                <w:color w:val="333333"/>
                <w:sz w:val="22"/>
                <w:szCs w:val="22"/>
                <w:lang w:eastAsia="nl-BE"/>
              </w:rPr>
              <w:t xml:space="preserve"> de </w:t>
            </w:r>
            <w:proofErr w:type="spellStart"/>
            <w:r w:rsidRPr="00EB4A27">
              <w:rPr>
                <w:rFonts w:asciiTheme="minorHAnsi" w:hAnsiTheme="minorHAnsi"/>
                <w:color w:val="333333"/>
                <w:sz w:val="22"/>
                <w:szCs w:val="22"/>
                <w:lang w:eastAsia="nl-BE"/>
              </w:rPr>
              <w:t>l’enseignement</w:t>
            </w:r>
            <w:proofErr w:type="spellEnd"/>
            <w:r w:rsidRPr="00EB4A27">
              <w:rPr>
                <w:rFonts w:asciiTheme="minorHAnsi" w:hAnsiTheme="minorHAnsi"/>
                <w:color w:val="333333"/>
                <w:sz w:val="22"/>
                <w:szCs w:val="22"/>
                <w:lang w:eastAsia="nl-BE"/>
              </w:rPr>
              <w:t xml:space="preserve"> </w:t>
            </w:r>
            <w:proofErr w:type="spellStart"/>
            <w:r w:rsidRPr="00EB4A27">
              <w:rPr>
                <w:rFonts w:asciiTheme="minorHAnsi" w:hAnsiTheme="minorHAnsi"/>
                <w:color w:val="333333"/>
                <w:sz w:val="22"/>
                <w:szCs w:val="22"/>
                <w:lang w:eastAsia="nl-BE"/>
              </w:rPr>
              <w:t>supérieur</w:t>
            </w:r>
            <w:proofErr w:type="spellEnd"/>
          </w:p>
        </w:tc>
        <w:tc>
          <w:tcPr>
            <w:tcW w:w="1845" w:type="dxa"/>
            <w:vMerge w:val="restart"/>
            <w:hideMark/>
          </w:tcPr>
          <w:p w:rsidR="00EB4A27" w:rsidRPr="00EB4A27" w:rsidRDefault="00EB4A27" w:rsidP="00EB4A27">
            <w:pPr>
              <w:rPr>
                <w:rFonts w:asciiTheme="minorHAnsi" w:hAnsiTheme="minorHAnsi"/>
                <w:color w:val="333333"/>
                <w:sz w:val="22"/>
                <w:szCs w:val="22"/>
                <w:lang w:eastAsia="nl-BE"/>
              </w:rPr>
            </w:pPr>
            <w:r w:rsidRPr="00EB4A27">
              <w:rPr>
                <w:rFonts w:asciiTheme="minorHAnsi" w:hAnsiTheme="minorHAnsi"/>
                <w:color w:val="333333"/>
                <w:sz w:val="22"/>
                <w:szCs w:val="22"/>
                <w:lang w:eastAsia="nl-BE"/>
              </w:rPr>
              <w:t xml:space="preserve">La </w:t>
            </w:r>
            <w:proofErr w:type="spellStart"/>
            <w:r w:rsidRPr="00EB4A27">
              <w:rPr>
                <w:rFonts w:asciiTheme="minorHAnsi" w:hAnsiTheme="minorHAnsi"/>
                <w:color w:val="333333"/>
                <w:sz w:val="22"/>
                <w:szCs w:val="22"/>
                <w:lang w:eastAsia="nl-BE"/>
              </w:rPr>
              <w:t>totalité</w:t>
            </w:r>
            <w:proofErr w:type="spellEnd"/>
            <w:r w:rsidRPr="00EB4A27">
              <w:rPr>
                <w:rFonts w:asciiTheme="minorHAnsi" w:hAnsiTheme="minorHAnsi"/>
                <w:color w:val="333333"/>
                <w:sz w:val="22"/>
                <w:szCs w:val="22"/>
                <w:lang w:eastAsia="nl-BE"/>
              </w:rPr>
              <w:t xml:space="preserve"> des </w:t>
            </w:r>
            <w:proofErr w:type="spellStart"/>
            <w:r w:rsidRPr="00EB4A27">
              <w:rPr>
                <w:rFonts w:asciiTheme="minorHAnsi" w:hAnsiTheme="minorHAnsi"/>
                <w:color w:val="333333"/>
                <w:sz w:val="22"/>
                <w:szCs w:val="22"/>
                <w:lang w:eastAsia="nl-BE"/>
              </w:rPr>
              <w:t>rémunérations</w:t>
            </w:r>
            <w:proofErr w:type="spellEnd"/>
          </w:p>
        </w:tc>
      </w:tr>
      <w:tr w:rsidR="00EB4A27" w:rsidRPr="00EB4A27" w:rsidTr="00EB4A27">
        <w:trPr>
          <w:tblCellSpacing w:w="0" w:type="dxa"/>
        </w:trPr>
        <w:tc>
          <w:tcPr>
            <w:tcW w:w="0" w:type="auto"/>
            <w:vMerge/>
            <w:vAlign w:val="center"/>
            <w:hideMark/>
          </w:tcPr>
          <w:p w:rsidR="00EB4A27" w:rsidRPr="00EB4A27" w:rsidRDefault="00EB4A27" w:rsidP="00EB4A27">
            <w:pPr>
              <w:rPr>
                <w:rFonts w:asciiTheme="minorHAnsi" w:hAnsiTheme="minorHAnsi"/>
                <w:color w:val="333333"/>
                <w:sz w:val="22"/>
                <w:szCs w:val="22"/>
                <w:lang w:eastAsia="nl-BE"/>
              </w:rPr>
            </w:pPr>
          </w:p>
        </w:tc>
        <w:tc>
          <w:tcPr>
            <w:tcW w:w="0" w:type="auto"/>
            <w:vMerge/>
            <w:vAlign w:val="center"/>
            <w:hideMark/>
          </w:tcPr>
          <w:p w:rsidR="00EB4A27" w:rsidRPr="00EB4A27" w:rsidRDefault="00EB4A27" w:rsidP="00EB4A27">
            <w:pPr>
              <w:rPr>
                <w:rFonts w:asciiTheme="minorHAnsi" w:hAnsiTheme="minorHAnsi"/>
                <w:color w:val="333333"/>
                <w:sz w:val="22"/>
                <w:szCs w:val="22"/>
                <w:lang w:eastAsia="nl-BE"/>
              </w:rPr>
            </w:pPr>
          </w:p>
        </w:tc>
        <w:tc>
          <w:tcPr>
            <w:tcW w:w="1695" w:type="dxa"/>
            <w:hideMark/>
          </w:tcPr>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 xml:space="preserve">Chercheurs postdoctoraux qui </w:t>
            </w:r>
            <w:r w:rsidRPr="00EB4A27">
              <w:rPr>
                <w:rFonts w:asciiTheme="minorHAnsi" w:hAnsiTheme="minorHAnsi"/>
                <w:color w:val="333333"/>
                <w:sz w:val="22"/>
                <w:szCs w:val="22"/>
                <w:lang w:val="fr-BE" w:eastAsia="nl-BE"/>
              </w:rPr>
              <w:lastRenderedPageBreak/>
              <w:t>effectuent des travaux de recherche au niveau postdoctoral</w:t>
            </w:r>
          </w:p>
        </w:tc>
        <w:tc>
          <w:tcPr>
            <w:tcW w:w="1410" w:type="dxa"/>
            <w:hideMark/>
          </w:tcPr>
          <w:p w:rsidR="00EB4A27" w:rsidRPr="00EB4A27" w:rsidRDefault="00EB4A27" w:rsidP="00EB4A27">
            <w:pPr>
              <w:rPr>
                <w:rFonts w:asciiTheme="minorHAnsi" w:hAnsiTheme="minorHAnsi"/>
                <w:color w:val="333333"/>
                <w:sz w:val="22"/>
                <w:szCs w:val="22"/>
                <w:lang w:eastAsia="nl-BE"/>
              </w:rPr>
            </w:pPr>
            <w:r w:rsidRPr="00EB4A27">
              <w:rPr>
                <w:rFonts w:asciiTheme="minorHAnsi" w:hAnsiTheme="minorHAnsi"/>
                <w:color w:val="333333"/>
                <w:sz w:val="22"/>
                <w:szCs w:val="22"/>
                <w:lang w:eastAsia="nl-BE"/>
              </w:rPr>
              <w:lastRenderedPageBreak/>
              <w:t>Non</w:t>
            </w:r>
          </w:p>
        </w:tc>
        <w:tc>
          <w:tcPr>
            <w:tcW w:w="1695" w:type="dxa"/>
            <w:hideMark/>
          </w:tcPr>
          <w:p w:rsidR="00EB4A27" w:rsidRPr="00EB4A27" w:rsidRDefault="00EB4A27" w:rsidP="00EB4A27">
            <w:pPr>
              <w:rPr>
                <w:rFonts w:asciiTheme="minorHAnsi" w:hAnsiTheme="minorHAnsi"/>
                <w:color w:val="333333"/>
                <w:sz w:val="22"/>
                <w:szCs w:val="22"/>
                <w:lang w:eastAsia="nl-BE"/>
              </w:rPr>
            </w:pPr>
            <w:proofErr w:type="spellStart"/>
            <w:r w:rsidRPr="00EB4A27">
              <w:rPr>
                <w:rFonts w:asciiTheme="minorHAnsi" w:hAnsiTheme="minorHAnsi"/>
                <w:color w:val="333333"/>
                <w:sz w:val="22"/>
                <w:szCs w:val="22"/>
                <w:lang w:eastAsia="nl-BE"/>
              </w:rPr>
              <w:t>Diplôme</w:t>
            </w:r>
            <w:proofErr w:type="spellEnd"/>
            <w:r w:rsidRPr="00EB4A27">
              <w:rPr>
                <w:rFonts w:asciiTheme="minorHAnsi" w:hAnsiTheme="minorHAnsi"/>
                <w:color w:val="333333"/>
                <w:sz w:val="22"/>
                <w:szCs w:val="22"/>
                <w:lang w:eastAsia="nl-BE"/>
              </w:rPr>
              <w:t xml:space="preserve"> de </w:t>
            </w:r>
            <w:proofErr w:type="spellStart"/>
            <w:r w:rsidRPr="00EB4A27">
              <w:rPr>
                <w:rFonts w:asciiTheme="minorHAnsi" w:hAnsiTheme="minorHAnsi"/>
                <w:color w:val="333333"/>
                <w:sz w:val="22"/>
                <w:szCs w:val="22"/>
                <w:lang w:eastAsia="nl-BE"/>
              </w:rPr>
              <w:t>l’enseignement</w:t>
            </w:r>
            <w:proofErr w:type="spellEnd"/>
            <w:r w:rsidRPr="00EB4A27">
              <w:rPr>
                <w:rFonts w:asciiTheme="minorHAnsi" w:hAnsiTheme="minorHAnsi"/>
                <w:color w:val="333333"/>
                <w:sz w:val="22"/>
                <w:szCs w:val="22"/>
                <w:lang w:eastAsia="nl-BE"/>
              </w:rPr>
              <w:t xml:space="preserve"> </w:t>
            </w:r>
            <w:proofErr w:type="spellStart"/>
            <w:r w:rsidRPr="00EB4A27">
              <w:rPr>
                <w:rFonts w:asciiTheme="minorHAnsi" w:hAnsiTheme="minorHAnsi"/>
                <w:color w:val="333333"/>
                <w:sz w:val="22"/>
                <w:szCs w:val="22"/>
                <w:lang w:eastAsia="nl-BE"/>
              </w:rPr>
              <w:lastRenderedPageBreak/>
              <w:t>supérieur</w:t>
            </w:r>
            <w:proofErr w:type="spellEnd"/>
          </w:p>
        </w:tc>
        <w:tc>
          <w:tcPr>
            <w:tcW w:w="0" w:type="auto"/>
            <w:vMerge/>
            <w:vAlign w:val="center"/>
            <w:hideMark/>
          </w:tcPr>
          <w:p w:rsidR="00EB4A27" w:rsidRPr="00EB4A27" w:rsidRDefault="00EB4A27" w:rsidP="00EB4A27">
            <w:pPr>
              <w:rPr>
                <w:rFonts w:asciiTheme="minorHAnsi" w:hAnsiTheme="minorHAnsi"/>
                <w:color w:val="333333"/>
                <w:sz w:val="22"/>
                <w:szCs w:val="22"/>
                <w:lang w:eastAsia="nl-BE"/>
              </w:rPr>
            </w:pPr>
          </w:p>
        </w:tc>
      </w:tr>
      <w:tr w:rsidR="00EB4A27" w:rsidRPr="00EB4A27" w:rsidTr="00EB4A27">
        <w:trPr>
          <w:tblCellSpacing w:w="0" w:type="dxa"/>
        </w:trPr>
        <w:tc>
          <w:tcPr>
            <w:tcW w:w="1695" w:type="dxa"/>
            <w:hideMark/>
          </w:tcPr>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lastRenderedPageBreak/>
              <w:t>FFWO/FFRS, FWO et FNRS – FRS – FNRS</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 </w:t>
            </w:r>
          </w:p>
        </w:tc>
        <w:tc>
          <w:tcPr>
            <w:tcW w:w="1425" w:type="dxa"/>
            <w:hideMark/>
          </w:tcPr>
          <w:p w:rsidR="00EB4A27" w:rsidRPr="00EB4A27" w:rsidRDefault="00EB4A27" w:rsidP="00EB4A27">
            <w:pPr>
              <w:rPr>
                <w:rFonts w:asciiTheme="minorHAnsi" w:hAnsiTheme="minorHAnsi"/>
                <w:color w:val="333333"/>
                <w:sz w:val="22"/>
                <w:szCs w:val="22"/>
                <w:lang w:eastAsia="nl-BE"/>
              </w:rPr>
            </w:pPr>
            <w:r w:rsidRPr="00EB4A27">
              <w:rPr>
                <w:rFonts w:asciiTheme="minorHAnsi" w:hAnsiTheme="minorHAnsi"/>
                <w:color w:val="333333"/>
                <w:sz w:val="22"/>
                <w:szCs w:val="22"/>
                <w:lang w:eastAsia="nl-BE"/>
              </w:rPr>
              <w:t>275</w:t>
            </w:r>
            <w:r w:rsidRPr="00EB4A27">
              <w:rPr>
                <w:rFonts w:asciiTheme="minorHAnsi" w:hAnsiTheme="minorHAnsi"/>
                <w:color w:val="333333"/>
                <w:sz w:val="22"/>
                <w:szCs w:val="22"/>
                <w:vertAlign w:val="superscript"/>
                <w:lang w:eastAsia="nl-BE"/>
              </w:rPr>
              <w:t>3</w:t>
            </w:r>
            <w:r w:rsidRPr="00EB4A27">
              <w:rPr>
                <w:rFonts w:asciiTheme="minorHAnsi" w:hAnsiTheme="minorHAnsi"/>
                <w:color w:val="333333"/>
                <w:sz w:val="22"/>
                <w:szCs w:val="22"/>
                <w:lang w:eastAsia="nl-BE"/>
              </w:rPr>
              <w:t>, § 1</w:t>
            </w:r>
            <w:r w:rsidRPr="00EB4A27">
              <w:rPr>
                <w:rFonts w:asciiTheme="minorHAnsi" w:hAnsiTheme="minorHAnsi"/>
                <w:color w:val="333333"/>
                <w:sz w:val="22"/>
                <w:szCs w:val="22"/>
                <w:vertAlign w:val="superscript"/>
                <w:lang w:eastAsia="nl-BE"/>
              </w:rPr>
              <w:t>er</w:t>
            </w:r>
            <w:r w:rsidRPr="00EB4A27">
              <w:rPr>
                <w:rFonts w:asciiTheme="minorHAnsi" w:hAnsiTheme="minorHAnsi"/>
                <w:color w:val="333333"/>
                <w:sz w:val="22"/>
                <w:szCs w:val="22"/>
                <w:lang w:eastAsia="nl-BE"/>
              </w:rPr>
              <w:t>, al. 1</w:t>
            </w:r>
            <w:r w:rsidRPr="00EB4A27">
              <w:rPr>
                <w:rFonts w:asciiTheme="minorHAnsi" w:hAnsiTheme="minorHAnsi"/>
                <w:color w:val="333333"/>
                <w:sz w:val="22"/>
                <w:szCs w:val="22"/>
                <w:vertAlign w:val="superscript"/>
                <w:lang w:eastAsia="nl-BE"/>
              </w:rPr>
              <w:t>er</w:t>
            </w:r>
            <w:r w:rsidRPr="00EB4A27">
              <w:rPr>
                <w:rFonts w:asciiTheme="minorHAnsi" w:hAnsiTheme="minorHAnsi"/>
                <w:color w:val="333333"/>
                <w:sz w:val="22"/>
                <w:szCs w:val="22"/>
                <w:lang w:eastAsia="nl-BE"/>
              </w:rPr>
              <w:t xml:space="preserve"> </w:t>
            </w:r>
          </w:p>
        </w:tc>
        <w:tc>
          <w:tcPr>
            <w:tcW w:w="1695" w:type="dxa"/>
            <w:hideMark/>
          </w:tcPr>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Chercheurs postdoctoraux qui font de la recherche scientifique au niveau postdoctoral</w:t>
            </w:r>
          </w:p>
        </w:tc>
        <w:tc>
          <w:tcPr>
            <w:tcW w:w="1410" w:type="dxa"/>
            <w:hideMark/>
          </w:tcPr>
          <w:p w:rsidR="00EB4A27" w:rsidRPr="00EB4A27" w:rsidRDefault="00EB4A27" w:rsidP="00EB4A27">
            <w:pPr>
              <w:rPr>
                <w:rFonts w:asciiTheme="minorHAnsi" w:hAnsiTheme="minorHAnsi"/>
                <w:color w:val="333333"/>
                <w:sz w:val="22"/>
                <w:szCs w:val="22"/>
                <w:lang w:eastAsia="nl-BE"/>
              </w:rPr>
            </w:pPr>
            <w:r w:rsidRPr="00EB4A27">
              <w:rPr>
                <w:rFonts w:asciiTheme="minorHAnsi" w:hAnsiTheme="minorHAnsi"/>
                <w:color w:val="333333"/>
                <w:sz w:val="22"/>
                <w:szCs w:val="22"/>
                <w:lang w:eastAsia="nl-BE"/>
              </w:rPr>
              <w:t>Non</w:t>
            </w:r>
          </w:p>
        </w:tc>
        <w:tc>
          <w:tcPr>
            <w:tcW w:w="1695" w:type="dxa"/>
            <w:hideMark/>
          </w:tcPr>
          <w:p w:rsidR="00EB4A27" w:rsidRPr="00EB4A27" w:rsidRDefault="00EB4A27" w:rsidP="00EB4A27">
            <w:pPr>
              <w:rPr>
                <w:rFonts w:asciiTheme="minorHAnsi" w:hAnsiTheme="minorHAnsi"/>
                <w:color w:val="333333"/>
                <w:sz w:val="22"/>
                <w:szCs w:val="22"/>
                <w:lang w:eastAsia="nl-BE"/>
              </w:rPr>
            </w:pPr>
            <w:proofErr w:type="spellStart"/>
            <w:r w:rsidRPr="00EB4A27">
              <w:rPr>
                <w:rFonts w:asciiTheme="minorHAnsi" w:hAnsiTheme="minorHAnsi"/>
                <w:color w:val="333333"/>
                <w:sz w:val="22"/>
                <w:szCs w:val="22"/>
                <w:lang w:eastAsia="nl-BE"/>
              </w:rPr>
              <w:t>Diplôme</w:t>
            </w:r>
            <w:proofErr w:type="spellEnd"/>
            <w:r w:rsidRPr="00EB4A27">
              <w:rPr>
                <w:rFonts w:asciiTheme="minorHAnsi" w:hAnsiTheme="minorHAnsi"/>
                <w:color w:val="333333"/>
                <w:sz w:val="22"/>
                <w:szCs w:val="22"/>
                <w:lang w:eastAsia="nl-BE"/>
              </w:rPr>
              <w:t xml:space="preserve"> de </w:t>
            </w:r>
            <w:proofErr w:type="spellStart"/>
            <w:r w:rsidRPr="00EB4A27">
              <w:rPr>
                <w:rFonts w:asciiTheme="minorHAnsi" w:hAnsiTheme="minorHAnsi"/>
                <w:color w:val="333333"/>
                <w:sz w:val="22"/>
                <w:szCs w:val="22"/>
                <w:lang w:eastAsia="nl-BE"/>
              </w:rPr>
              <w:t>l’enseignement</w:t>
            </w:r>
            <w:proofErr w:type="spellEnd"/>
            <w:r w:rsidRPr="00EB4A27">
              <w:rPr>
                <w:rFonts w:asciiTheme="minorHAnsi" w:hAnsiTheme="minorHAnsi"/>
                <w:color w:val="333333"/>
                <w:sz w:val="22"/>
                <w:szCs w:val="22"/>
                <w:lang w:eastAsia="nl-BE"/>
              </w:rPr>
              <w:t xml:space="preserve"> </w:t>
            </w:r>
            <w:proofErr w:type="spellStart"/>
            <w:r w:rsidRPr="00EB4A27">
              <w:rPr>
                <w:rFonts w:asciiTheme="minorHAnsi" w:hAnsiTheme="minorHAnsi"/>
                <w:color w:val="333333"/>
                <w:sz w:val="22"/>
                <w:szCs w:val="22"/>
                <w:lang w:eastAsia="nl-BE"/>
              </w:rPr>
              <w:t>supérieur</w:t>
            </w:r>
            <w:proofErr w:type="spellEnd"/>
          </w:p>
        </w:tc>
        <w:tc>
          <w:tcPr>
            <w:tcW w:w="1845" w:type="dxa"/>
            <w:hideMark/>
          </w:tcPr>
          <w:p w:rsidR="00EB4A27" w:rsidRPr="00EB4A27" w:rsidRDefault="00EB4A27" w:rsidP="00EB4A27">
            <w:pPr>
              <w:rPr>
                <w:rFonts w:asciiTheme="minorHAnsi" w:hAnsiTheme="minorHAnsi"/>
                <w:color w:val="333333"/>
                <w:sz w:val="22"/>
                <w:szCs w:val="22"/>
                <w:lang w:eastAsia="nl-BE"/>
              </w:rPr>
            </w:pPr>
            <w:r w:rsidRPr="00EB4A27">
              <w:rPr>
                <w:rFonts w:asciiTheme="minorHAnsi" w:hAnsiTheme="minorHAnsi"/>
                <w:color w:val="333333"/>
                <w:sz w:val="22"/>
                <w:szCs w:val="22"/>
                <w:lang w:eastAsia="nl-BE"/>
              </w:rPr>
              <w:t xml:space="preserve">La </w:t>
            </w:r>
            <w:proofErr w:type="spellStart"/>
            <w:r w:rsidRPr="00EB4A27">
              <w:rPr>
                <w:rFonts w:asciiTheme="minorHAnsi" w:hAnsiTheme="minorHAnsi"/>
                <w:color w:val="333333"/>
                <w:sz w:val="22"/>
                <w:szCs w:val="22"/>
                <w:lang w:eastAsia="nl-BE"/>
              </w:rPr>
              <w:t>totalité</w:t>
            </w:r>
            <w:proofErr w:type="spellEnd"/>
            <w:r w:rsidRPr="00EB4A27">
              <w:rPr>
                <w:rFonts w:asciiTheme="minorHAnsi" w:hAnsiTheme="minorHAnsi"/>
                <w:color w:val="333333"/>
                <w:sz w:val="22"/>
                <w:szCs w:val="22"/>
                <w:lang w:eastAsia="nl-BE"/>
              </w:rPr>
              <w:t xml:space="preserve"> des </w:t>
            </w:r>
            <w:proofErr w:type="spellStart"/>
            <w:r w:rsidRPr="00EB4A27">
              <w:rPr>
                <w:rFonts w:asciiTheme="minorHAnsi" w:hAnsiTheme="minorHAnsi"/>
                <w:color w:val="333333"/>
                <w:sz w:val="22"/>
                <w:szCs w:val="22"/>
                <w:lang w:eastAsia="nl-BE"/>
              </w:rPr>
              <w:t>rémunérations</w:t>
            </w:r>
            <w:proofErr w:type="spellEnd"/>
          </w:p>
        </w:tc>
      </w:tr>
      <w:tr w:rsidR="00EB4A27" w:rsidRPr="00EB4A27" w:rsidTr="00EB4A27">
        <w:trPr>
          <w:tblCellSpacing w:w="0" w:type="dxa"/>
        </w:trPr>
        <w:tc>
          <w:tcPr>
            <w:tcW w:w="1695" w:type="dxa"/>
            <w:vMerge w:val="restart"/>
            <w:hideMark/>
          </w:tcPr>
          <w:p w:rsidR="00EB4A27" w:rsidRPr="00EB4A27" w:rsidRDefault="00EB4A27" w:rsidP="00EB4A27">
            <w:pPr>
              <w:rPr>
                <w:rFonts w:asciiTheme="minorHAnsi" w:hAnsiTheme="minorHAnsi"/>
                <w:color w:val="333333"/>
                <w:sz w:val="22"/>
                <w:szCs w:val="22"/>
                <w:lang w:eastAsia="nl-BE"/>
              </w:rPr>
            </w:pPr>
            <w:proofErr w:type="spellStart"/>
            <w:r w:rsidRPr="00EB4A27">
              <w:rPr>
                <w:rFonts w:asciiTheme="minorHAnsi" w:hAnsiTheme="minorHAnsi"/>
                <w:color w:val="333333"/>
                <w:sz w:val="22"/>
                <w:szCs w:val="22"/>
                <w:lang w:eastAsia="nl-BE"/>
              </w:rPr>
              <w:t>Institutions</w:t>
            </w:r>
            <w:proofErr w:type="spellEnd"/>
            <w:r w:rsidRPr="00EB4A27">
              <w:rPr>
                <w:rFonts w:asciiTheme="minorHAnsi" w:hAnsiTheme="minorHAnsi"/>
                <w:color w:val="333333"/>
                <w:sz w:val="22"/>
                <w:szCs w:val="22"/>
                <w:lang w:eastAsia="nl-BE"/>
              </w:rPr>
              <w:t xml:space="preserve"> </w:t>
            </w:r>
            <w:proofErr w:type="spellStart"/>
            <w:r w:rsidRPr="00EB4A27">
              <w:rPr>
                <w:rFonts w:asciiTheme="minorHAnsi" w:hAnsiTheme="minorHAnsi"/>
                <w:color w:val="333333"/>
                <w:sz w:val="22"/>
                <w:szCs w:val="22"/>
                <w:lang w:eastAsia="nl-BE"/>
              </w:rPr>
              <w:t>scientifiques</w:t>
            </w:r>
            <w:proofErr w:type="spellEnd"/>
            <w:r w:rsidRPr="00EB4A27">
              <w:rPr>
                <w:rFonts w:asciiTheme="minorHAnsi" w:hAnsiTheme="minorHAnsi"/>
                <w:color w:val="333333"/>
                <w:sz w:val="22"/>
                <w:szCs w:val="22"/>
                <w:lang w:eastAsia="nl-BE"/>
              </w:rPr>
              <w:t xml:space="preserve"> </w:t>
            </w:r>
            <w:proofErr w:type="spellStart"/>
            <w:r w:rsidRPr="00EB4A27">
              <w:rPr>
                <w:rFonts w:asciiTheme="minorHAnsi" w:hAnsiTheme="minorHAnsi"/>
                <w:color w:val="333333"/>
                <w:sz w:val="22"/>
                <w:szCs w:val="22"/>
                <w:lang w:eastAsia="nl-BE"/>
              </w:rPr>
              <w:t>agréées</w:t>
            </w:r>
            <w:proofErr w:type="spellEnd"/>
          </w:p>
          <w:p w:rsidR="00EB4A27" w:rsidRPr="00EB4A27" w:rsidRDefault="00EB4A27" w:rsidP="00EB4A27">
            <w:pPr>
              <w:rPr>
                <w:rFonts w:asciiTheme="minorHAnsi" w:hAnsiTheme="minorHAnsi"/>
                <w:color w:val="333333"/>
                <w:sz w:val="22"/>
                <w:szCs w:val="22"/>
                <w:lang w:eastAsia="nl-BE"/>
              </w:rPr>
            </w:pPr>
            <w:r w:rsidRPr="00EB4A27">
              <w:rPr>
                <w:rFonts w:asciiTheme="minorHAnsi" w:hAnsiTheme="minorHAnsi"/>
                <w:color w:val="333333"/>
                <w:sz w:val="22"/>
                <w:szCs w:val="22"/>
                <w:lang w:eastAsia="nl-BE"/>
              </w:rPr>
              <w:t> </w:t>
            </w:r>
          </w:p>
        </w:tc>
        <w:tc>
          <w:tcPr>
            <w:tcW w:w="1425" w:type="dxa"/>
            <w:vMerge w:val="restart"/>
            <w:hideMark/>
          </w:tcPr>
          <w:p w:rsidR="00EB4A27" w:rsidRPr="00EB4A27" w:rsidRDefault="00EB4A27" w:rsidP="00EB4A27">
            <w:pPr>
              <w:rPr>
                <w:rFonts w:asciiTheme="minorHAnsi" w:hAnsiTheme="minorHAnsi"/>
                <w:color w:val="333333"/>
                <w:sz w:val="22"/>
                <w:szCs w:val="22"/>
                <w:lang w:eastAsia="nl-BE"/>
              </w:rPr>
            </w:pPr>
            <w:r w:rsidRPr="00EB4A27">
              <w:rPr>
                <w:rFonts w:asciiTheme="minorHAnsi" w:hAnsiTheme="minorHAnsi"/>
                <w:color w:val="333333"/>
                <w:sz w:val="22"/>
                <w:szCs w:val="22"/>
                <w:lang w:eastAsia="nl-BE"/>
              </w:rPr>
              <w:t>275</w:t>
            </w:r>
            <w:r w:rsidRPr="00EB4A27">
              <w:rPr>
                <w:rFonts w:asciiTheme="minorHAnsi" w:hAnsiTheme="minorHAnsi"/>
                <w:color w:val="333333"/>
                <w:sz w:val="22"/>
                <w:szCs w:val="22"/>
                <w:vertAlign w:val="superscript"/>
                <w:lang w:eastAsia="nl-BE"/>
              </w:rPr>
              <w:t>3</w:t>
            </w:r>
            <w:r w:rsidRPr="00EB4A27">
              <w:rPr>
                <w:rFonts w:asciiTheme="minorHAnsi" w:hAnsiTheme="minorHAnsi"/>
                <w:color w:val="333333"/>
                <w:sz w:val="22"/>
                <w:szCs w:val="22"/>
                <w:lang w:eastAsia="nl-BE"/>
              </w:rPr>
              <w:t>, § 1</w:t>
            </w:r>
            <w:r w:rsidRPr="00EB4A27">
              <w:rPr>
                <w:rFonts w:asciiTheme="minorHAnsi" w:hAnsiTheme="minorHAnsi"/>
                <w:color w:val="333333"/>
                <w:sz w:val="22"/>
                <w:szCs w:val="22"/>
                <w:vertAlign w:val="superscript"/>
                <w:lang w:eastAsia="nl-BE"/>
              </w:rPr>
              <w:t>er</w:t>
            </w:r>
            <w:r w:rsidRPr="00EB4A27">
              <w:rPr>
                <w:rFonts w:asciiTheme="minorHAnsi" w:hAnsiTheme="minorHAnsi"/>
                <w:color w:val="333333"/>
                <w:sz w:val="22"/>
                <w:szCs w:val="22"/>
                <w:lang w:eastAsia="nl-BE"/>
              </w:rPr>
              <w:t>, al. 2</w:t>
            </w:r>
          </w:p>
        </w:tc>
        <w:tc>
          <w:tcPr>
            <w:tcW w:w="1695" w:type="dxa"/>
            <w:hideMark/>
          </w:tcPr>
          <w:p w:rsidR="00EB4A27" w:rsidRPr="00EB4A27" w:rsidRDefault="00EB4A27" w:rsidP="00EB4A27">
            <w:pPr>
              <w:rPr>
                <w:rFonts w:asciiTheme="minorHAnsi" w:hAnsiTheme="minorHAnsi"/>
                <w:color w:val="333333"/>
                <w:sz w:val="22"/>
                <w:szCs w:val="22"/>
                <w:lang w:eastAsia="nl-BE"/>
              </w:rPr>
            </w:pPr>
            <w:proofErr w:type="spellStart"/>
            <w:r w:rsidRPr="00EB4A27">
              <w:rPr>
                <w:rFonts w:asciiTheme="minorHAnsi" w:hAnsiTheme="minorHAnsi"/>
                <w:color w:val="333333"/>
                <w:sz w:val="22"/>
                <w:szCs w:val="22"/>
                <w:lang w:eastAsia="nl-BE"/>
              </w:rPr>
              <w:t>Chercheurs</w:t>
            </w:r>
            <w:proofErr w:type="spellEnd"/>
            <w:r w:rsidRPr="00EB4A27">
              <w:rPr>
                <w:rFonts w:asciiTheme="minorHAnsi" w:hAnsiTheme="minorHAnsi"/>
                <w:color w:val="333333"/>
                <w:sz w:val="22"/>
                <w:szCs w:val="22"/>
                <w:lang w:eastAsia="nl-BE"/>
              </w:rPr>
              <w:t xml:space="preserve"> </w:t>
            </w:r>
            <w:proofErr w:type="spellStart"/>
            <w:r w:rsidRPr="00EB4A27">
              <w:rPr>
                <w:rFonts w:asciiTheme="minorHAnsi" w:hAnsiTheme="minorHAnsi"/>
                <w:color w:val="333333"/>
                <w:sz w:val="22"/>
                <w:szCs w:val="22"/>
                <w:lang w:eastAsia="nl-BE"/>
              </w:rPr>
              <w:t>assistants</w:t>
            </w:r>
            <w:proofErr w:type="spellEnd"/>
          </w:p>
        </w:tc>
        <w:tc>
          <w:tcPr>
            <w:tcW w:w="1410" w:type="dxa"/>
            <w:hideMark/>
          </w:tcPr>
          <w:p w:rsidR="00EB4A27" w:rsidRPr="00EB4A27" w:rsidRDefault="00EB4A27" w:rsidP="00EB4A27">
            <w:pPr>
              <w:rPr>
                <w:rFonts w:asciiTheme="minorHAnsi" w:hAnsiTheme="minorHAnsi"/>
                <w:color w:val="333333"/>
                <w:sz w:val="22"/>
                <w:szCs w:val="22"/>
                <w:lang w:eastAsia="nl-BE"/>
              </w:rPr>
            </w:pPr>
            <w:r w:rsidRPr="00EB4A27">
              <w:rPr>
                <w:rFonts w:asciiTheme="minorHAnsi" w:hAnsiTheme="minorHAnsi"/>
                <w:color w:val="333333"/>
                <w:sz w:val="22"/>
                <w:szCs w:val="22"/>
                <w:lang w:eastAsia="nl-BE"/>
              </w:rPr>
              <w:t>Non</w:t>
            </w:r>
          </w:p>
        </w:tc>
        <w:tc>
          <w:tcPr>
            <w:tcW w:w="1695" w:type="dxa"/>
            <w:hideMark/>
          </w:tcPr>
          <w:p w:rsidR="00EB4A27" w:rsidRPr="00EB4A27" w:rsidRDefault="00EB4A27" w:rsidP="00EB4A27">
            <w:pPr>
              <w:rPr>
                <w:rFonts w:asciiTheme="minorHAnsi" w:hAnsiTheme="minorHAnsi"/>
                <w:color w:val="333333"/>
                <w:sz w:val="22"/>
                <w:szCs w:val="22"/>
                <w:lang w:eastAsia="nl-BE"/>
              </w:rPr>
            </w:pPr>
            <w:proofErr w:type="spellStart"/>
            <w:r w:rsidRPr="00EB4A27">
              <w:rPr>
                <w:rFonts w:asciiTheme="minorHAnsi" w:hAnsiTheme="minorHAnsi"/>
                <w:color w:val="333333"/>
                <w:sz w:val="22"/>
                <w:szCs w:val="22"/>
                <w:lang w:eastAsia="nl-BE"/>
              </w:rPr>
              <w:t>Diplôme</w:t>
            </w:r>
            <w:proofErr w:type="spellEnd"/>
            <w:r w:rsidRPr="00EB4A27">
              <w:rPr>
                <w:rFonts w:asciiTheme="minorHAnsi" w:hAnsiTheme="minorHAnsi"/>
                <w:color w:val="333333"/>
                <w:sz w:val="22"/>
                <w:szCs w:val="22"/>
                <w:lang w:eastAsia="nl-BE"/>
              </w:rPr>
              <w:t xml:space="preserve"> de </w:t>
            </w:r>
            <w:proofErr w:type="spellStart"/>
            <w:r w:rsidRPr="00EB4A27">
              <w:rPr>
                <w:rFonts w:asciiTheme="minorHAnsi" w:hAnsiTheme="minorHAnsi"/>
                <w:color w:val="333333"/>
                <w:sz w:val="22"/>
                <w:szCs w:val="22"/>
                <w:lang w:eastAsia="nl-BE"/>
              </w:rPr>
              <w:t>l’enseignement</w:t>
            </w:r>
            <w:proofErr w:type="spellEnd"/>
            <w:r w:rsidRPr="00EB4A27">
              <w:rPr>
                <w:rFonts w:asciiTheme="minorHAnsi" w:hAnsiTheme="minorHAnsi"/>
                <w:color w:val="333333"/>
                <w:sz w:val="22"/>
                <w:szCs w:val="22"/>
                <w:lang w:eastAsia="nl-BE"/>
              </w:rPr>
              <w:t xml:space="preserve"> </w:t>
            </w:r>
            <w:proofErr w:type="spellStart"/>
            <w:r w:rsidRPr="00EB4A27">
              <w:rPr>
                <w:rFonts w:asciiTheme="minorHAnsi" w:hAnsiTheme="minorHAnsi"/>
                <w:color w:val="333333"/>
                <w:sz w:val="22"/>
                <w:szCs w:val="22"/>
                <w:lang w:eastAsia="nl-BE"/>
              </w:rPr>
              <w:t>supérieur</w:t>
            </w:r>
            <w:proofErr w:type="spellEnd"/>
          </w:p>
        </w:tc>
        <w:tc>
          <w:tcPr>
            <w:tcW w:w="1845" w:type="dxa"/>
            <w:vMerge w:val="restart"/>
            <w:hideMark/>
          </w:tcPr>
          <w:p w:rsidR="00EB4A27" w:rsidRPr="00EB4A27" w:rsidRDefault="00EB4A27" w:rsidP="00EB4A27">
            <w:pPr>
              <w:rPr>
                <w:rFonts w:asciiTheme="minorHAnsi" w:hAnsiTheme="minorHAnsi"/>
                <w:color w:val="333333"/>
                <w:sz w:val="22"/>
                <w:szCs w:val="22"/>
                <w:lang w:eastAsia="nl-BE"/>
              </w:rPr>
            </w:pPr>
            <w:r w:rsidRPr="00EB4A27">
              <w:rPr>
                <w:rFonts w:asciiTheme="minorHAnsi" w:hAnsiTheme="minorHAnsi"/>
                <w:color w:val="333333"/>
                <w:sz w:val="22"/>
                <w:szCs w:val="22"/>
                <w:lang w:eastAsia="nl-BE"/>
              </w:rPr>
              <w:t xml:space="preserve">La </w:t>
            </w:r>
            <w:proofErr w:type="spellStart"/>
            <w:r w:rsidRPr="00EB4A27">
              <w:rPr>
                <w:rFonts w:asciiTheme="minorHAnsi" w:hAnsiTheme="minorHAnsi"/>
                <w:color w:val="333333"/>
                <w:sz w:val="22"/>
                <w:szCs w:val="22"/>
                <w:lang w:eastAsia="nl-BE"/>
              </w:rPr>
              <w:t>totalité</w:t>
            </w:r>
            <w:proofErr w:type="spellEnd"/>
            <w:r w:rsidRPr="00EB4A27">
              <w:rPr>
                <w:rFonts w:asciiTheme="minorHAnsi" w:hAnsiTheme="minorHAnsi"/>
                <w:color w:val="333333"/>
                <w:sz w:val="22"/>
                <w:szCs w:val="22"/>
                <w:lang w:eastAsia="nl-BE"/>
              </w:rPr>
              <w:t xml:space="preserve"> des </w:t>
            </w:r>
            <w:proofErr w:type="spellStart"/>
            <w:r w:rsidRPr="00EB4A27">
              <w:rPr>
                <w:rFonts w:asciiTheme="minorHAnsi" w:hAnsiTheme="minorHAnsi"/>
                <w:color w:val="333333"/>
                <w:sz w:val="22"/>
                <w:szCs w:val="22"/>
                <w:lang w:eastAsia="nl-BE"/>
              </w:rPr>
              <w:t>rémunérations</w:t>
            </w:r>
            <w:proofErr w:type="spellEnd"/>
          </w:p>
        </w:tc>
      </w:tr>
      <w:tr w:rsidR="00EB4A27" w:rsidRPr="00EB4A27" w:rsidTr="00EB4A27">
        <w:trPr>
          <w:tblCellSpacing w:w="0" w:type="dxa"/>
        </w:trPr>
        <w:tc>
          <w:tcPr>
            <w:tcW w:w="0" w:type="auto"/>
            <w:vMerge/>
            <w:vAlign w:val="center"/>
            <w:hideMark/>
          </w:tcPr>
          <w:p w:rsidR="00EB4A27" w:rsidRPr="00EB4A27" w:rsidRDefault="00EB4A27" w:rsidP="00EB4A27">
            <w:pPr>
              <w:rPr>
                <w:rFonts w:asciiTheme="minorHAnsi" w:hAnsiTheme="minorHAnsi"/>
                <w:color w:val="333333"/>
                <w:sz w:val="22"/>
                <w:szCs w:val="22"/>
                <w:lang w:eastAsia="nl-BE"/>
              </w:rPr>
            </w:pPr>
          </w:p>
        </w:tc>
        <w:tc>
          <w:tcPr>
            <w:tcW w:w="0" w:type="auto"/>
            <w:vMerge/>
            <w:vAlign w:val="center"/>
            <w:hideMark/>
          </w:tcPr>
          <w:p w:rsidR="00EB4A27" w:rsidRPr="00EB4A27" w:rsidRDefault="00EB4A27" w:rsidP="00EB4A27">
            <w:pPr>
              <w:rPr>
                <w:rFonts w:asciiTheme="minorHAnsi" w:hAnsiTheme="minorHAnsi"/>
                <w:color w:val="333333"/>
                <w:sz w:val="22"/>
                <w:szCs w:val="22"/>
                <w:lang w:eastAsia="nl-BE"/>
              </w:rPr>
            </w:pPr>
          </w:p>
        </w:tc>
        <w:tc>
          <w:tcPr>
            <w:tcW w:w="1695" w:type="dxa"/>
            <w:hideMark/>
          </w:tcPr>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Chercheurs postdoctoraux qui effectuent des travaux scientifiques d'exécution pour la recherche au niveau postdoctoral</w:t>
            </w:r>
          </w:p>
        </w:tc>
        <w:tc>
          <w:tcPr>
            <w:tcW w:w="1410" w:type="dxa"/>
            <w:hideMark/>
          </w:tcPr>
          <w:p w:rsidR="00EB4A27" w:rsidRPr="00EB4A27" w:rsidRDefault="00EB4A27" w:rsidP="00EB4A27">
            <w:pPr>
              <w:rPr>
                <w:rFonts w:asciiTheme="minorHAnsi" w:hAnsiTheme="minorHAnsi"/>
                <w:color w:val="333333"/>
                <w:sz w:val="22"/>
                <w:szCs w:val="22"/>
                <w:lang w:eastAsia="nl-BE"/>
              </w:rPr>
            </w:pPr>
            <w:r w:rsidRPr="00EB4A27">
              <w:rPr>
                <w:rFonts w:asciiTheme="minorHAnsi" w:hAnsiTheme="minorHAnsi"/>
                <w:color w:val="333333"/>
                <w:sz w:val="22"/>
                <w:szCs w:val="22"/>
                <w:lang w:eastAsia="nl-BE"/>
              </w:rPr>
              <w:t>Non</w:t>
            </w:r>
          </w:p>
        </w:tc>
        <w:tc>
          <w:tcPr>
            <w:tcW w:w="1695" w:type="dxa"/>
            <w:hideMark/>
          </w:tcPr>
          <w:p w:rsidR="00EB4A27" w:rsidRPr="00EB4A27" w:rsidRDefault="00EB4A27" w:rsidP="00EB4A27">
            <w:pPr>
              <w:rPr>
                <w:rFonts w:asciiTheme="minorHAnsi" w:hAnsiTheme="minorHAnsi"/>
                <w:color w:val="333333"/>
                <w:sz w:val="22"/>
                <w:szCs w:val="22"/>
                <w:lang w:eastAsia="nl-BE"/>
              </w:rPr>
            </w:pPr>
            <w:proofErr w:type="spellStart"/>
            <w:r w:rsidRPr="00EB4A27">
              <w:rPr>
                <w:rFonts w:asciiTheme="minorHAnsi" w:hAnsiTheme="minorHAnsi"/>
                <w:color w:val="333333"/>
                <w:sz w:val="22"/>
                <w:szCs w:val="22"/>
                <w:lang w:eastAsia="nl-BE"/>
              </w:rPr>
              <w:t>Diplôme</w:t>
            </w:r>
            <w:proofErr w:type="spellEnd"/>
            <w:r w:rsidRPr="00EB4A27">
              <w:rPr>
                <w:rFonts w:asciiTheme="minorHAnsi" w:hAnsiTheme="minorHAnsi"/>
                <w:color w:val="333333"/>
                <w:sz w:val="22"/>
                <w:szCs w:val="22"/>
                <w:lang w:eastAsia="nl-BE"/>
              </w:rPr>
              <w:t xml:space="preserve"> de </w:t>
            </w:r>
            <w:proofErr w:type="spellStart"/>
            <w:r w:rsidRPr="00EB4A27">
              <w:rPr>
                <w:rFonts w:asciiTheme="minorHAnsi" w:hAnsiTheme="minorHAnsi"/>
                <w:color w:val="333333"/>
                <w:sz w:val="22"/>
                <w:szCs w:val="22"/>
                <w:lang w:eastAsia="nl-BE"/>
              </w:rPr>
              <w:t>l’enseignement</w:t>
            </w:r>
            <w:proofErr w:type="spellEnd"/>
            <w:r w:rsidRPr="00EB4A27">
              <w:rPr>
                <w:rFonts w:asciiTheme="minorHAnsi" w:hAnsiTheme="minorHAnsi"/>
                <w:color w:val="333333"/>
                <w:sz w:val="22"/>
                <w:szCs w:val="22"/>
                <w:lang w:eastAsia="nl-BE"/>
              </w:rPr>
              <w:t xml:space="preserve"> </w:t>
            </w:r>
            <w:proofErr w:type="spellStart"/>
            <w:r w:rsidRPr="00EB4A27">
              <w:rPr>
                <w:rFonts w:asciiTheme="minorHAnsi" w:hAnsiTheme="minorHAnsi"/>
                <w:color w:val="333333"/>
                <w:sz w:val="22"/>
                <w:szCs w:val="22"/>
                <w:lang w:eastAsia="nl-BE"/>
              </w:rPr>
              <w:t>supérieur</w:t>
            </w:r>
            <w:proofErr w:type="spellEnd"/>
          </w:p>
        </w:tc>
        <w:tc>
          <w:tcPr>
            <w:tcW w:w="0" w:type="auto"/>
            <w:vMerge/>
            <w:vAlign w:val="center"/>
            <w:hideMark/>
          </w:tcPr>
          <w:p w:rsidR="00EB4A27" w:rsidRPr="00EB4A27" w:rsidRDefault="00EB4A27" w:rsidP="00EB4A27">
            <w:pPr>
              <w:rPr>
                <w:rFonts w:asciiTheme="minorHAnsi" w:hAnsiTheme="minorHAnsi"/>
                <w:color w:val="333333"/>
                <w:sz w:val="22"/>
                <w:szCs w:val="22"/>
                <w:lang w:eastAsia="nl-BE"/>
              </w:rPr>
            </w:pPr>
          </w:p>
        </w:tc>
      </w:tr>
      <w:tr w:rsidR="00EB4A27" w:rsidRPr="00EB4A27" w:rsidTr="00EB4A27">
        <w:trPr>
          <w:tblCellSpacing w:w="0" w:type="dxa"/>
        </w:trPr>
        <w:tc>
          <w:tcPr>
            <w:tcW w:w="1695" w:type="dxa"/>
            <w:hideMark/>
          </w:tcPr>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Entreprises qui paient ou attribuent des rémunérations à des chercheurs affectés à des projets ou des programmes de recherche ou de développement menés en exécution de conventions de partenariat conclues avec des universités, des hautes écoles ou des institutions scientifiques agréées</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 </w:t>
            </w:r>
          </w:p>
        </w:tc>
        <w:tc>
          <w:tcPr>
            <w:tcW w:w="1425" w:type="dxa"/>
            <w:hideMark/>
          </w:tcPr>
          <w:p w:rsidR="00EB4A27" w:rsidRPr="00EB4A27" w:rsidRDefault="00EB4A27" w:rsidP="00EB4A27">
            <w:pPr>
              <w:rPr>
                <w:rFonts w:asciiTheme="minorHAnsi" w:hAnsiTheme="minorHAnsi"/>
                <w:color w:val="333333"/>
                <w:sz w:val="22"/>
                <w:szCs w:val="22"/>
                <w:lang w:eastAsia="nl-BE"/>
              </w:rPr>
            </w:pPr>
            <w:r w:rsidRPr="00EB4A27">
              <w:rPr>
                <w:rFonts w:asciiTheme="minorHAnsi" w:hAnsiTheme="minorHAnsi"/>
                <w:color w:val="333333"/>
                <w:sz w:val="22"/>
                <w:szCs w:val="22"/>
                <w:lang w:eastAsia="nl-BE"/>
              </w:rPr>
              <w:t>275</w:t>
            </w:r>
            <w:r w:rsidRPr="00EB4A27">
              <w:rPr>
                <w:rFonts w:asciiTheme="minorHAnsi" w:hAnsiTheme="minorHAnsi"/>
                <w:color w:val="333333"/>
                <w:sz w:val="22"/>
                <w:szCs w:val="22"/>
                <w:vertAlign w:val="superscript"/>
                <w:lang w:eastAsia="nl-BE"/>
              </w:rPr>
              <w:t>3</w:t>
            </w:r>
            <w:r w:rsidRPr="00EB4A27">
              <w:rPr>
                <w:rFonts w:asciiTheme="minorHAnsi" w:hAnsiTheme="minorHAnsi"/>
                <w:color w:val="333333"/>
                <w:sz w:val="22"/>
                <w:szCs w:val="22"/>
                <w:lang w:eastAsia="nl-BE"/>
              </w:rPr>
              <w:t>, § 1</w:t>
            </w:r>
            <w:r w:rsidRPr="00EB4A27">
              <w:rPr>
                <w:rFonts w:asciiTheme="minorHAnsi" w:hAnsiTheme="minorHAnsi"/>
                <w:color w:val="333333"/>
                <w:sz w:val="22"/>
                <w:szCs w:val="22"/>
                <w:vertAlign w:val="superscript"/>
                <w:lang w:eastAsia="nl-BE"/>
              </w:rPr>
              <w:t>er</w:t>
            </w:r>
            <w:r w:rsidRPr="00EB4A27">
              <w:rPr>
                <w:rFonts w:asciiTheme="minorHAnsi" w:hAnsiTheme="minorHAnsi"/>
                <w:color w:val="333333"/>
                <w:sz w:val="22"/>
                <w:szCs w:val="22"/>
                <w:lang w:eastAsia="nl-BE"/>
              </w:rPr>
              <w:t>, al. 3, 1°</w:t>
            </w:r>
          </w:p>
        </w:tc>
        <w:tc>
          <w:tcPr>
            <w:tcW w:w="1695" w:type="dxa"/>
            <w:hideMark/>
          </w:tcPr>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Chercheurs affectés à des projets ou des programmes de recherche ou de développement menés en exécution de conventions de partenariat conclues avec des universités, des hautes écoles ou des institutions scientifiques agréées</w:t>
            </w:r>
          </w:p>
        </w:tc>
        <w:tc>
          <w:tcPr>
            <w:tcW w:w="1410" w:type="dxa"/>
            <w:hideMark/>
          </w:tcPr>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 xml:space="preserve">Point III, e), al. 2 de l’annexe </w:t>
            </w:r>
            <w:proofErr w:type="spellStart"/>
            <w:r w:rsidRPr="00EB4A27">
              <w:rPr>
                <w:rFonts w:asciiTheme="minorHAnsi" w:hAnsiTheme="minorHAnsi"/>
                <w:color w:val="333333"/>
                <w:sz w:val="22"/>
                <w:szCs w:val="22"/>
                <w:lang w:val="fr-BE" w:eastAsia="nl-BE"/>
              </w:rPr>
              <w:t>III</w:t>
            </w:r>
            <w:r w:rsidRPr="00EB4A27">
              <w:rPr>
                <w:rFonts w:asciiTheme="minorHAnsi" w:hAnsiTheme="minorHAnsi"/>
                <w:i/>
                <w:iCs/>
                <w:color w:val="333333"/>
                <w:sz w:val="22"/>
                <w:szCs w:val="22"/>
                <w:lang w:val="fr-BE" w:eastAsia="nl-BE"/>
              </w:rPr>
              <w:t>ter</w:t>
            </w:r>
            <w:proofErr w:type="spellEnd"/>
            <w:r w:rsidRPr="00EB4A27">
              <w:rPr>
                <w:rFonts w:asciiTheme="minorHAnsi" w:hAnsiTheme="minorHAnsi"/>
                <w:color w:val="333333"/>
                <w:sz w:val="22"/>
                <w:szCs w:val="22"/>
                <w:lang w:val="fr-BE" w:eastAsia="nl-BE"/>
              </w:rPr>
              <w:t>, AR/CIR 92</w:t>
            </w:r>
          </w:p>
        </w:tc>
        <w:tc>
          <w:tcPr>
            <w:tcW w:w="1695" w:type="dxa"/>
            <w:hideMark/>
          </w:tcPr>
          <w:p w:rsidR="00EB4A27" w:rsidRPr="00EB4A27" w:rsidRDefault="00EB4A27" w:rsidP="00EB4A27">
            <w:pPr>
              <w:rPr>
                <w:rFonts w:asciiTheme="minorHAnsi" w:hAnsiTheme="minorHAnsi"/>
                <w:color w:val="333333"/>
                <w:sz w:val="22"/>
                <w:szCs w:val="22"/>
                <w:lang w:eastAsia="nl-BE"/>
              </w:rPr>
            </w:pPr>
            <w:proofErr w:type="spellStart"/>
            <w:r w:rsidRPr="00EB4A27">
              <w:rPr>
                <w:rFonts w:asciiTheme="minorHAnsi" w:hAnsiTheme="minorHAnsi"/>
                <w:color w:val="333333"/>
                <w:sz w:val="22"/>
                <w:szCs w:val="22"/>
                <w:lang w:eastAsia="nl-BE"/>
              </w:rPr>
              <w:t>Diplôme</w:t>
            </w:r>
            <w:proofErr w:type="spellEnd"/>
            <w:r w:rsidRPr="00EB4A27">
              <w:rPr>
                <w:rFonts w:asciiTheme="minorHAnsi" w:hAnsiTheme="minorHAnsi"/>
                <w:color w:val="333333"/>
                <w:sz w:val="22"/>
                <w:szCs w:val="22"/>
                <w:lang w:eastAsia="nl-BE"/>
              </w:rPr>
              <w:t xml:space="preserve"> de </w:t>
            </w:r>
            <w:proofErr w:type="spellStart"/>
            <w:r w:rsidRPr="00EB4A27">
              <w:rPr>
                <w:rFonts w:asciiTheme="minorHAnsi" w:hAnsiTheme="minorHAnsi"/>
                <w:color w:val="333333"/>
                <w:sz w:val="22"/>
                <w:szCs w:val="22"/>
                <w:lang w:eastAsia="nl-BE"/>
              </w:rPr>
              <w:t>l’enseignement</w:t>
            </w:r>
            <w:proofErr w:type="spellEnd"/>
            <w:r w:rsidRPr="00EB4A27">
              <w:rPr>
                <w:rFonts w:asciiTheme="minorHAnsi" w:hAnsiTheme="minorHAnsi"/>
                <w:color w:val="333333"/>
                <w:sz w:val="22"/>
                <w:szCs w:val="22"/>
                <w:lang w:eastAsia="nl-BE"/>
              </w:rPr>
              <w:t xml:space="preserve"> </w:t>
            </w:r>
            <w:proofErr w:type="spellStart"/>
            <w:r w:rsidRPr="00EB4A27">
              <w:rPr>
                <w:rFonts w:asciiTheme="minorHAnsi" w:hAnsiTheme="minorHAnsi"/>
                <w:color w:val="333333"/>
                <w:sz w:val="22"/>
                <w:szCs w:val="22"/>
                <w:lang w:eastAsia="nl-BE"/>
              </w:rPr>
              <w:t>supérieur</w:t>
            </w:r>
            <w:proofErr w:type="spellEnd"/>
          </w:p>
        </w:tc>
        <w:tc>
          <w:tcPr>
            <w:tcW w:w="1845" w:type="dxa"/>
            <w:hideMark/>
          </w:tcPr>
          <w:p w:rsidR="00EB4A27" w:rsidRPr="00EB4A27" w:rsidRDefault="00EB4A27" w:rsidP="00EB4A27">
            <w:pPr>
              <w:rPr>
                <w:rFonts w:asciiTheme="minorHAnsi" w:hAnsiTheme="minorHAnsi"/>
                <w:color w:val="333333"/>
                <w:sz w:val="22"/>
                <w:szCs w:val="22"/>
                <w:lang w:eastAsia="nl-BE"/>
              </w:rPr>
            </w:pPr>
            <w:proofErr w:type="spellStart"/>
            <w:r w:rsidRPr="00EB4A27">
              <w:rPr>
                <w:rFonts w:asciiTheme="minorHAnsi" w:hAnsiTheme="minorHAnsi"/>
                <w:color w:val="333333"/>
                <w:sz w:val="22"/>
                <w:szCs w:val="22"/>
                <w:lang w:eastAsia="nl-BE"/>
              </w:rPr>
              <w:t>Règle</w:t>
            </w:r>
            <w:proofErr w:type="spellEnd"/>
            <w:r w:rsidRPr="00EB4A27">
              <w:rPr>
                <w:rFonts w:asciiTheme="minorHAnsi" w:hAnsiTheme="minorHAnsi"/>
                <w:color w:val="333333"/>
                <w:sz w:val="22"/>
                <w:szCs w:val="22"/>
                <w:lang w:eastAsia="nl-BE"/>
              </w:rPr>
              <w:t xml:space="preserve"> du </w:t>
            </w:r>
            <w:proofErr w:type="spellStart"/>
            <w:r w:rsidRPr="00EB4A27">
              <w:rPr>
                <w:rFonts w:asciiTheme="minorHAnsi" w:hAnsiTheme="minorHAnsi"/>
                <w:color w:val="333333"/>
                <w:sz w:val="22"/>
                <w:szCs w:val="22"/>
                <w:lang w:eastAsia="nl-BE"/>
              </w:rPr>
              <w:t>prorata</w:t>
            </w:r>
            <w:proofErr w:type="spellEnd"/>
          </w:p>
        </w:tc>
      </w:tr>
      <w:tr w:rsidR="00EB4A27" w:rsidRPr="00EB4A27" w:rsidTr="00EB4A27">
        <w:trPr>
          <w:tblCellSpacing w:w="0" w:type="dxa"/>
        </w:trPr>
        <w:tc>
          <w:tcPr>
            <w:tcW w:w="1695" w:type="dxa"/>
            <w:vMerge w:val="restart"/>
            <w:hideMark/>
          </w:tcPr>
          <w:p w:rsidR="00EB4A27" w:rsidRPr="00EB4A27" w:rsidRDefault="00EB4A27" w:rsidP="00EB4A27">
            <w:pPr>
              <w:rPr>
                <w:rFonts w:asciiTheme="minorHAnsi" w:hAnsiTheme="minorHAnsi"/>
                <w:color w:val="333333"/>
                <w:sz w:val="22"/>
                <w:szCs w:val="22"/>
                <w:lang w:eastAsia="nl-BE"/>
              </w:rPr>
            </w:pPr>
            <w:r w:rsidRPr="00EB4A27">
              <w:rPr>
                <w:rFonts w:asciiTheme="minorHAnsi" w:hAnsiTheme="minorHAnsi"/>
                <w:color w:val="333333"/>
                <w:sz w:val="22"/>
                <w:szCs w:val="22"/>
                <w:lang w:eastAsia="nl-BE"/>
              </w:rPr>
              <w:t xml:space="preserve">Young </w:t>
            </w:r>
            <w:proofErr w:type="spellStart"/>
            <w:r w:rsidRPr="00EB4A27">
              <w:rPr>
                <w:rFonts w:asciiTheme="minorHAnsi" w:hAnsiTheme="minorHAnsi"/>
                <w:color w:val="333333"/>
                <w:sz w:val="22"/>
                <w:szCs w:val="22"/>
                <w:lang w:eastAsia="nl-BE"/>
              </w:rPr>
              <w:t>Innovative</w:t>
            </w:r>
            <w:proofErr w:type="spellEnd"/>
            <w:r w:rsidRPr="00EB4A27">
              <w:rPr>
                <w:rFonts w:asciiTheme="minorHAnsi" w:hAnsiTheme="minorHAnsi"/>
                <w:color w:val="333333"/>
                <w:sz w:val="22"/>
                <w:szCs w:val="22"/>
                <w:lang w:eastAsia="nl-BE"/>
              </w:rPr>
              <w:t xml:space="preserve"> Companies (YIC)</w:t>
            </w:r>
          </w:p>
          <w:p w:rsidR="00EB4A27" w:rsidRPr="00EB4A27" w:rsidRDefault="00EB4A27" w:rsidP="00EB4A27">
            <w:pPr>
              <w:rPr>
                <w:rFonts w:asciiTheme="minorHAnsi" w:hAnsiTheme="minorHAnsi"/>
                <w:color w:val="333333"/>
                <w:sz w:val="22"/>
                <w:szCs w:val="22"/>
                <w:lang w:eastAsia="nl-BE"/>
              </w:rPr>
            </w:pPr>
            <w:r w:rsidRPr="00EB4A27">
              <w:rPr>
                <w:rFonts w:asciiTheme="minorHAnsi" w:hAnsiTheme="minorHAnsi"/>
                <w:color w:val="333333"/>
                <w:sz w:val="22"/>
                <w:szCs w:val="22"/>
                <w:lang w:eastAsia="nl-BE"/>
              </w:rPr>
              <w:t> </w:t>
            </w:r>
          </w:p>
        </w:tc>
        <w:tc>
          <w:tcPr>
            <w:tcW w:w="1425" w:type="dxa"/>
            <w:vMerge w:val="restart"/>
            <w:hideMark/>
          </w:tcPr>
          <w:p w:rsidR="00EB4A27" w:rsidRPr="00EB4A27" w:rsidRDefault="00EB4A27" w:rsidP="00EB4A27">
            <w:pPr>
              <w:rPr>
                <w:rFonts w:asciiTheme="minorHAnsi" w:hAnsiTheme="minorHAnsi"/>
                <w:color w:val="333333"/>
                <w:sz w:val="22"/>
                <w:szCs w:val="22"/>
                <w:lang w:eastAsia="nl-BE"/>
              </w:rPr>
            </w:pPr>
            <w:r w:rsidRPr="00EB4A27">
              <w:rPr>
                <w:rFonts w:asciiTheme="minorHAnsi" w:hAnsiTheme="minorHAnsi"/>
                <w:color w:val="333333"/>
                <w:sz w:val="22"/>
                <w:szCs w:val="22"/>
                <w:lang w:eastAsia="nl-BE"/>
              </w:rPr>
              <w:t>275</w:t>
            </w:r>
            <w:r w:rsidRPr="00EB4A27">
              <w:rPr>
                <w:rFonts w:asciiTheme="minorHAnsi" w:hAnsiTheme="minorHAnsi"/>
                <w:color w:val="333333"/>
                <w:sz w:val="22"/>
                <w:szCs w:val="22"/>
                <w:vertAlign w:val="superscript"/>
                <w:lang w:eastAsia="nl-BE"/>
              </w:rPr>
              <w:t>3</w:t>
            </w:r>
            <w:r w:rsidRPr="00EB4A27">
              <w:rPr>
                <w:rFonts w:asciiTheme="minorHAnsi" w:hAnsiTheme="minorHAnsi"/>
                <w:color w:val="333333"/>
                <w:sz w:val="22"/>
                <w:szCs w:val="22"/>
                <w:lang w:eastAsia="nl-BE"/>
              </w:rPr>
              <w:t>, § 1</w:t>
            </w:r>
            <w:r w:rsidRPr="00EB4A27">
              <w:rPr>
                <w:rFonts w:asciiTheme="minorHAnsi" w:hAnsiTheme="minorHAnsi"/>
                <w:color w:val="333333"/>
                <w:sz w:val="22"/>
                <w:szCs w:val="22"/>
                <w:vertAlign w:val="superscript"/>
                <w:lang w:eastAsia="nl-BE"/>
              </w:rPr>
              <w:t>er</w:t>
            </w:r>
            <w:r w:rsidRPr="00EB4A27">
              <w:rPr>
                <w:rFonts w:asciiTheme="minorHAnsi" w:hAnsiTheme="minorHAnsi"/>
                <w:color w:val="333333"/>
                <w:sz w:val="22"/>
                <w:szCs w:val="22"/>
                <w:lang w:eastAsia="nl-BE"/>
              </w:rPr>
              <w:t>, al. 3, 2°</w:t>
            </w:r>
          </w:p>
        </w:tc>
        <w:tc>
          <w:tcPr>
            <w:tcW w:w="1695" w:type="dxa"/>
            <w:hideMark/>
          </w:tcPr>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 xml:space="preserve">Personnel scientifique employé par une </w:t>
            </w:r>
            <w:r w:rsidRPr="00EB4A27">
              <w:rPr>
                <w:rFonts w:asciiTheme="minorHAnsi" w:hAnsiTheme="minorHAnsi"/>
                <w:color w:val="333333"/>
                <w:sz w:val="22"/>
                <w:szCs w:val="22"/>
                <w:lang w:val="fr-BE" w:eastAsia="nl-BE"/>
              </w:rPr>
              <w:lastRenderedPageBreak/>
              <w:t>YIC, constitué des :</w:t>
            </w:r>
          </w:p>
        </w:tc>
        <w:tc>
          <w:tcPr>
            <w:tcW w:w="1410" w:type="dxa"/>
            <w:vMerge w:val="restart"/>
            <w:hideMark/>
          </w:tcPr>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lastRenderedPageBreak/>
              <w:t xml:space="preserve">Point III, e), al. 2 de l’annexe </w:t>
            </w:r>
            <w:proofErr w:type="spellStart"/>
            <w:r w:rsidRPr="00EB4A27">
              <w:rPr>
                <w:rFonts w:asciiTheme="minorHAnsi" w:hAnsiTheme="minorHAnsi"/>
                <w:color w:val="333333"/>
                <w:sz w:val="22"/>
                <w:szCs w:val="22"/>
                <w:lang w:val="fr-BE" w:eastAsia="nl-BE"/>
              </w:rPr>
              <w:t>III</w:t>
            </w:r>
            <w:r w:rsidRPr="00EB4A27">
              <w:rPr>
                <w:rFonts w:asciiTheme="minorHAnsi" w:hAnsiTheme="minorHAnsi"/>
                <w:i/>
                <w:iCs/>
                <w:color w:val="333333"/>
                <w:sz w:val="22"/>
                <w:szCs w:val="22"/>
                <w:lang w:val="fr-BE" w:eastAsia="nl-BE"/>
              </w:rPr>
              <w:t>ter</w:t>
            </w:r>
            <w:proofErr w:type="spellEnd"/>
            <w:r w:rsidRPr="00EB4A27">
              <w:rPr>
                <w:rFonts w:asciiTheme="minorHAnsi" w:hAnsiTheme="minorHAnsi"/>
                <w:color w:val="333333"/>
                <w:sz w:val="22"/>
                <w:szCs w:val="22"/>
                <w:lang w:val="fr-BE" w:eastAsia="nl-BE"/>
              </w:rPr>
              <w:t xml:space="preserve">, AR/CIR </w:t>
            </w:r>
            <w:r w:rsidRPr="00EB4A27">
              <w:rPr>
                <w:rFonts w:asciiTheme="minorHAnsi" w:hAnsiTheme="minorHAnsi"/>
                <w:color w:val="333333"/>
                <w:sz w:val="22"/>
                <w:szCs w:val="22"/>
                <w:lang w:val="fr-BE" w:eastAsia="nl-BE"/>
              </w:rPr>
              <w:lastRenderedPageBreak/>
              <w:t>92</w:t>
            </w:r>
          </w:p>
        </w:tc>
        <w:tc>
          <w:tcPr>
            <w:tcW w:w="1695" w:type="dxa"/>
            <w:hideMark/>
          </w:tcPr>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lastRenderedPageBreak/>
              <w:t> </w:t>
            </w:r>
          </w:p>
        </w:tc>
        <w:tc>
          <w:tcPr>
            <w:tcW w:w="1845" w:type="dxa"/>
            <w:vMerge w:val="restart"/>
            <w:hideMark/>
          </w:tcPr>
          <w:p w:rsidR="00EB4A27" w:rsidRPr="00EB4A27" w:rsidRDefault="00EB4A27" w:rsidP="00EB4A27">
            <w:pPr>
              <w:rPr>
                <w:rFonts w:asciiTheme="minorHAnsi" w:hAnsiTheme="minorHAnsi"/>
                <w:color w:val="333333"/>
                <w:sz w:val="22"/>
                <w:szCs w:val="22"/>
                <w:lang w:eastAsia="nl-BE"/>
              </w:rPr>
            </w:pPr>
            <w:proofErr w:type="spellStart"/>
            <w:r w:rsidRPr="00EB4A27">
              <w:rPr>
                <w:rFonts w:asciiTheme="minorHAnsi" w:hAnsiTheme="minorHAnsi"/>
                <w:color w:val="333333"/>
                <w:sz w:val="22"/>
                <w:szCs w:val="22"/>
                <w:lang w:eastAsia="nl-BE"/>
              </w:rPr>
              <w:t>Règle</w:t>
            </w:r>
            <w:proofErr w:type="spellEnd"/>
            <w:r w:rsidRPr="00EB4A27">
              <w:rPr>
                <w:rFonts w:asciiTheme="minorHAnsi" w:hAnsiTheme="minorHAnsi"/>
                <w:color w:val="333333"/>
                <w:sz w:val="22"/>
                <w:szCs w:val="22"/>
                <w:lang w:eastAsia="nl-BE"/>
              </w:rPr>
              <w:t xml:space="preserve"> du </w:t>
            </w:r>
            <w:proofErr w:type="spellStart"/>
            <w:r w:rsidRPr="00EB4A27">
              <w:rPr>
                <w:rFonts w:asciiTheme="minorHAnsi" w:hAnsiTheme="minorHAnsi"/>
                <w:color w:val="333333"/>
                <w:sz w:val="22"/>
                <w:szCs w:val="22"/>
                <w:lang w:eastAsia="nl-BE"/>
              </w:rPr>
              <w:t>prorata</w:t>
            </w:r>
            <w:proofErr w:type="spellEnd"/>
          </w:p>
        </w:tc>
      </w:tr>
      <w:tr w:rsidR="00EB4A27" w:rsidRPr="00EB4A27" w:rsidTr="00EB4A27">
        <w:trPr>
          <w:tblCellSpacing w:w="0" w:type="dxa"/>
        </w:trPr>
        <w:tc>
          <w:tcPr>
            <w:tcW w:w="0" w:type="auto"/>
            <w:vMerge/>
            <w:vAlign w:val="center"/>
            <w:hideMark/>
          </w:tcPr>
          <w:p w:rsidR="00EB4A27" w:rsidRPr="00EB4A27" w:rsidRDefault="00EB4A27" w:rsidP="00EB4A27">
            <w:pPr>
              <w:rPr>
                <w:rFonts w:asciiTheme="minorHAnsi" w:hAnsiTheme="minorHAnsi"/>
                <w:color w:val="333333"/>
                <w:sz w:val="22"/>
                <w:szCs w:val="22"/>
                <w:lang w:eastAsia="nl-BE"/>
              </w:rPr>
            </w:pPr>
          </w:p>
        </w:tc>
        <w:tc>
          <w:tcPr>
            <w:tcW w:w="0" w:type="auto"/>
            <w:vMerge/>
            <w:vAlign w:val="center"/>
            <w:hideMark/>
          </w:tcPr>
          <w:p w:rsidR="00EB4A27" w:rsidRPr="00EB4A27" w:rsidRDefault="00EB4A27" w:rsidP="00EB4A27">
            <w:pPr>
              <w:rPr>
                <w:rFonts w:asciiTheme="minorHAnsi" w:hAnsiTheme="minorHAnsi"/>
                <w:color w:val="333333"/>
                <w:sz w:val="22"/>
                <w:szCs w:val="22"/>
                <w:lang w:eastAsia="nl-BE"/>
              </w:rPr>
            </w:pPr>
          </w:p>
        </w:tc>
        <w:tc>
          <w:tcPr>
            <w:tcW w:w="1695" w:type="dxa"/>
            <w:hideMark/>
          </w:tcPr>
          <w:p w:rsidR="00EB4A27" w:rsidRPr="00EB4A27" w:rsidRDefault="00EB4A27" w:rsidP="00EB4A27">
            <w:pPr>
              <w:rPr>
                <w:rFonts w:asciiTheme="minorHAnsi" w:hAnsiTheme="minorHAnsi"/>
                <w:color w:val="333333"/>
                <w:sz w:val="22"/>
                <w:szCs w:val="22"/>
                <w:lang w:eastAsia="nl-BE"/>
              </w:rPr>
            </w:pPr>
            <w:r w:rsidRPr="00EB4A27">
              <w:rPr>
                <w:rFonts w:asciiTheme="minorHAnsi" w:hAnsiTheme="minorHAnsi"/>
                <w:color w:val="333333"/>
                <w:sz w:val="22"/>
                <w:szCs w:val="22"/>
                <w:lang w:eastAsia="nl-BE"/>
              </w:rPr>
              <w:t xml:space="preserve">- </w:t>
            </w:r>
            <w:proofErr w:type="spellStart"/>
            <w:r w:rsidRPr="00EB4A27">
              <w:rPr>
                <w:rFonts w:asciiTheme="minorHAnsi" w:hAnsiTheme="minorHAnsi"/>
                <w:color w:val="333333"/>
                <w:sz w:val="22"/>
                <w:szCs w:val="22"/>
                <w:lang w:eastAsia="nl-BE"/>
              </w:rPr>
              <w:t>Chercheurs</w:t>
            </w:r>
            <w:proofErr w:type="spellEnd"/>
          </w:p>
        </w:tc>
        <w:tc>
          <w:tcPr>
            <w:tcW w:w="0" w:type="auto"/>
            <w:vMerge/>
            <w:vAlign w:val="center"/>
            <w:hideMark/>
          </w:tcPr>
          <w:p w:rsidR="00EB4A27" w:rsidRPr="00EB4A27" w:rsidRDefault="00EB4A27" w:rsidP="00EB4A27">
            <w:pPr>
              <w:rPr>
                <w:rFonts w:asciiTheme="minorHAnsi" w:hAnsiTheme="minorHAnsi"/>
                <w:color w:val="333333"/>
                <w:sz w:val="22"/>
                <w:szCs w:val="22"/>
                <w:lang w:eastAsia="nl-BE"/>
              </w:rPr>
            </w:pPr>
          </w:p>
        </w:tc>
        <w:tc>
          <w:tcPr>
            <w:tcW w:w="1695" w:type="dxa"/>
            <w:hideMark/>
          </w:tcPr>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Pas de conditions liées au diplôme (mais une expérience pertinente requise)</w:t>
            </w:r>
          </w:p>
        </w:tc>
        <w:tc>
          <w:tcPr>
            <w:tcW w:w="0" w:type="auto"/>
            <w:vMerge/>
            <w:vAlign w:val="center"/>
            <w:hideMark/>
          </w:tcPr>
          <w:p w:rsidR="00EB4A27" w:rsidRPr="00EB4A27" w:rsidRDefault="00EB4A27" w:rsidP="00EB4A27">
            <w:pPr>
              <w:rPr>
                <w:rFonts w:asciiTheme="minorHAnsi" w:hAnsiTheme="minorHAnsi"/>
                <w:color w:val="333333"/>
                <w:sz w:val="22"/>
                <w:szCs w:val="22"/>
                <w:lang w:val="fr-BE" w:eastAsia="nl-BE"/>
              </w:rPr>
            </w:pPr>
          </w:p>
        </w:tc>
      </w:tr>
      <w:tr w:rsidR="00EB4A27" w:rsidRPr="00EB4A27" w:rsidTr="00EB4A27">
        <w:trPr>
          <w:tblCellSpacing w:w="0" w:type="dxa"/>
        </w:trPr>
        <w:tc>
          <w:tcPr>
            <w:tcW w:w="0" w:type="auto"/>
            <w:vMerge/>
            <w:vAlign w:val="center"/>
            <w:hideMark/>
          </w:tcPr>
          <w:p w:rsidR="00EB4A27" w:rsidRPr="00EB4A27" w:rsidRDefault="00EB4A27" w:rsidP="00EB4A27">
            <w:pPr>
              <w:rPr>
                <w:rFonts w:asciiTheme="minorHAnsi" w:hAnsiTheme="minorHAnsi"/>
                <w:color w:val="333333"/>
                <w:sz w:val="22"/>
                <w:szCs w:val="22"/>
                <w:lang w:val="fr-BE" w:eastAsia="nl-BE"/>
              </w:rPr>
            </w:pPr>
          </w:p>
        </w:tc>
        <w:tc>
          <w:tcPr>
            <w:tcW w:w="0" w:type="auto"/>
            <w:vMerge/>
            <w:vAlign w:val="center"/>
            <w:hideMark/>
          </w:tcPr>
          <w:p w:rsidR="00EB4A27" w:rsidRPr="00EB4A27" w:rsidRDefault="00EB4A27" w:rsidP="00EB4A27">
            <w:pPr>
              <w:rPr>
                <w:rFonts w:asciiTheme="minorHAnsi" w:hAnsiTheme="minorHAnsi"/>
                <w:color w:val="333333"/>
                <w:sz w:val="22"/>
                <w:szCs w:val="22"/>
                <w:lang w:val="fr-BE" w:eastAsia="nl-BE"/>
              </w:rPr>
            </w:pPr>
          </w:p>
        </w:tc>
        <w:tc>
          <w:tcPr>
            <w:tcW w:w="1695" w:type="dxa"/>
            <w:hideMark/>
          </w:tcPr>
          <w:p w:rsidR="00EB4A27" w:rsidRPr="00EB4A27" w:rsidRDefault="00EB4A27" w:rsidP="00EB4A27">
            <w:pPr>
              <w:rPr>
                <w:rFonts w:asciiTheme="minorHAnsi" w:hAnsiTheme="minorHAnsi"/>
                <w:color w:val="333333"/>
                <w:sz w:val="22"/>
                <w:szCs w:val="22"/>
                <w:lang w:eastAsia="nl-BE"/>
              </w:rPr>
            </w:pPr>
            <w:r w:rsidRPr="00EB4A27">
              <w:rPr>
                <w:rFonts w:asciiTheme="minorHAnsi" w:hAnsiTheme="minorHAnsi"/>
                <w:color w:val="333333"/>
                <w:sz w:val="22"/>
                <w:szCs w:val="22"/>
                <w:lang w:eastAsia="nl-BE"/>
              </w:rPr>
              <w:t xml:space="preserve">- </w:t>
            </w:r>
            <w:proofErr w:type="spellStart"/>
            <w:r w:rsidRPr="00EB4A27">
              <w:rPr>
                <w:rFonts w:asciiTheme="minorHAnsi" w:hAnsiTheme="minorHAnsi"/>
                <w:color w:val="333333"/>
                <w:sz w:val="22"/>
                <w:szCs w:val="22"/>
                <w:lang w:eastAsia="nl-BE"/>
              </w:rPr>
              <w:t>Techniciens</w:t>
            </w:r>
            <w:proofErr w:type="spellEnd"/>
            <w:r w:rsidRPr="00EB4A27">
              <w:rPr>
                <w:rFonts w:asciiTheme="minorHAnsi" w:hAnsiTheme="minorHAnsi"/>
                <w:color w:val="333333"/>
                <w:sz w:val="22"/>
                <w:szCs w:val="22"/>
                <w:lang w:eastAsia="nl-BE"/>
              </w:rPr>
              <w:t xml:space="preserve"> de recherche</w:t>
            </w:r>
          </w:p>
        </w:tc>
        <w:tc>
          <w:tcPr>
            <w:tcW w:w="0" w:type="auto"/>
            <w:vMerge/>
            <w:vAlign w:val="center"/>
            <w:hideMark/>
          </w:tcPr>
          <w:p w:rsidR="00EB4A27" w:rsidRPr="00EB4A27" w:rsidRDefault="00EB4A27" w:rsidP="00EB4A27">
            <w:pPr>
              <w:rPr>
                <w:rFonts w:asciiTheme="minorHAnsi" w:hAnsiTheme="minorHAnsi"/>
                <w:color w:val="333333"/>
                <w:sz w:val="22"/>
                <w:szCs w:val="22"/>
                <w:lang w:eastAsia="nl-BE"/>
              </w:rPr>
            </w:pPr>
          </w:p>
        </w:tc>
        <w:tc>
          <w:tcPr>
            <w:tcW w:w="1695" w:type="dxa"/>
            <w:hideMark/>
          </w:tcPr>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Pas de conditions liées au diplôme (mais une expérience pertinente requise)</w:t>
            </w:r>
          </w:p>
        </w:tc>
        <w:tc>
          <w:tcPr>
            <w:tcW w:w="0" w:type="auto"/>
            <w:vMerge/>
            <w:vAlign w:val="center"/>
            <w:hideMark/>
          </w:tcPr>
          <w:p w:rsidR="00EB4A27" w:rsidRPr="00EB4A27" w:rsidRDefault="00EB4A27" w:rsidP="00EB4A27">
            <w:pPr>
              <w:rPr>
                <w:rFonts w:asciiTheme="minorHAnsi" w:hAnsiTheme="minorHAnsi"/>
                <w:color w:val="333333"/>
                <w:sz w:val="22"/>
                <w:szCs w:val="22"/>
                <w:lang w:val="fr-BE" w:eastAsia="nl-BE"/>
              </w:rPr>
            </w:pPr>
          </w:p>
        </w:tc>
      </w:tr>
      <w:tr w:rsidR="00EB4A27" w:rsidRPr="00EB4A27" w:rsidTr="00EB4A27">
        <w:trPr>
          <w:tblCellSpacing w:w="0" w:type="dxa"/>
        </w:trPr>
        <w:tc>
          <w:tcPr>
            <w:tcW w:w="0" w:type="auto"/>
            <w:vMerge/>
            <w:vAlign w:val="center"/>
            <w:hideMark/>
          </w:tcPr>
          <w:p w:rsidR="00EB4A27" w:rsidRPr="00EB4A27" w:rsidRDefault="00EB4A27" w:rsidP="00EB4A27">
            <w:pPr>
              <w:rPr>
                <w:rFonts w:asciiTheme="minorHAnsi" w:hAnsiTheme="minorHAnsi"/>
                <w:color w:val="333333"/>
                <w:sz w:val="22"/>
                <w:szCs w:val="22"/>
                <w:lang w:val="fr-BE" w:eastAsia="nl-BE"/>
              </w:rPr>
            </w:pPr>
          </w:p>
        </w:tc>
        <w:tc>
          <w:tcPr>
            <w:tcW w:w="0" w:type="auto"/>
            <w:vMerge/>
            <w:vAlign w:val="center"/>
            <w:hideMark/>
          </w:tcPr>
          <w:p w:rsidR="00EB4A27" w:rsidRPr="00EB4A27" w:rsidRDefault="00EB4A27" w:rsidP="00EB4A27">
            <w:pPr>
              <w:rPr>
                <w:rFonts w:asciiTheme="minorHAnsi" w:hAnsiTheme="minorHAnsi"/>
                <w:color w:val="333333"/>
                <w:sz w:val="22"/>
                <w:szCs w:val="22"/>
                <w:lang w:val="fr-BE" w:eastAsia="nl-BE"/>
              </w:rPr>
            </w:pPr>
          </w:p>
        </w:tc>
        <w:tc>
          <w:tcPr>
            <w:tcW w:w="1695" w:type="dxa"/>
            <w:hideMark/>
          </w:tcPr>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 Gestionnaires de projets de recherche et de développement</w:t>
            </w:r>
          </w:p>
        </w:tc>
        <w:tc>
          <w:tcPr>
            <w:tcW w:w="0" w:type="auto"/>
            <w:vMerge/>
            <w:vAlign w:val="center"/>
            <w:hideMark/>
          </w:tcPr>
          <w:p w:rsidR="00EB4A27" w:rsidRPr="00EB4A27" w:rsidRDefault="00EB4A27" w:rsidP="00EB4A27">
            <w:pPr>
              <w:rPr>
                <w:rFonts w:asciiTheme="minorHAnsi" w:hAnsiTheme="minorHAnsi"/>
                <w:color w:val="333333"/>
                <w:sz w:val="22"/>
                <w:szCs w:val="22"/>
                <w:lang w:val="fr-BE" w:eastAsia="nl-BE"/>
              </w:rPr>
            </w:pPr>
          </w:p>
        </w:tc>
        <w:tc>
          <w:tcPr>
            <w:tcW w:w="1695" w:type="dxa"/>
            <w:hideMark/>
          </w:tcPr>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Pas de conditions liées au diplôme</w:t>
            </w:r>
          </w:p>
        </w:tc>
        <w:tc>
          <w:tcPr>
            <w:tcW w:w="0" w:type="auto"/>
            <w:vMerge/>
            <w:vAlign w:val="center"/>
            <w:hideMark/>
          </w:tcPr>
          <w:p w:rsidR="00EB4A27" w:rsidRPr="00EB4A27" w:rsidRDefault="00EB4A27" w:rsidP="00EB4A27">
            <w:pPr>
              <w:rPr>
                <w:rFonts w:asciiTheme="minorHAnsi" w:hAnsiTheme="minorHAnsi"/>
                <w:color w:val="333333"/>
                <w:sz w:val="22"/>
                <w:szCs w:val="22"/>
                <w:lang w:val="fr-BE" w:eastAsia="nl-BE"/>
              </w:rPr>
            </w:pPr>
          </w:p>
        </w:tc>
      </w:tr>
      <w:tr w:rsidR="00EB4A27" w:rsidRPr="00EB4A27" w:rsidTr="00EB4A27">
        <w:trPr>
          <w:tblCellSpacing w:w="0" w:type="dxa"/>
        </w:trPr>
        <w:tc>
          <w:tcPr>
            <w:tcW w:w="0" w:type="auto"/>
            <w:vMerge/>
            <w:vAlign w:val="center"/>
            <w:hideMark/>
          </w:tcPr>
          <w:p w:rsidR="00EB4A27" w:rsidRPr="00EB4A27" w:rsidRDefault="00EB4A27" w:rsidP="00EB4A27">
            <w:pPr>
              <w:rPr>
                <w:rFonts w:asciiTheme="minorHAnsi" w:hAnsiTheme="minorHAnsi"/>
                <w:color w:val="333333"/>
                <w:sz w:val="22"/>
                <w:szCs w:val="22"/>
                <w:lang w:val="fr-BE" w:eastAsia="nl-BE"/>
              </w:rPr>
            </w:pPr>
          </w:p>
        </w:tc>
        <w:tc>
          <w:tcPr>
            <w:tcW w:w="0" w:type="auto"/>
            <w:vMerge/>
            <w:vAlign w:val="center"/>
            <w:hideMark/>
          </w:tcPr>
          <w:p w:rsidR="00EB4A27" w:rsidRPr="00EB4A27" w:rsidRDefault="00EB4A27" w:rsidP="00EB4A27">
            <w:pPr>
              <w:rPr>
                <w:rFonts w:asciiTheme="minorHAnsi" w:hAnsiTheme="minorHAnsi"/>
                <w:color w:val="333333"/>
                <w:sz w:val="22"/>
                <w:szCs w:val="22"/>
                <w:lang w:val="fr-BE" w:eastAsia="nl-BE"/>
              </w:rPr>
            </w:pPr>
          </w:p>
        </w:tc>
        <w:tc>
          <w:tcPr>
            <w:tcW w:w="1695" w:type="dxa"/>
            <w:hideMark/>
          </w:tcPr>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A l'exclusion du personnel commercial et administratif</w:t>
            </w:r>
          </w:p>
        </w:tc>
        <w:tc>
          <w:tcPr>
            <w:tcW w:w="0" w:type="auto"/>
            <w:vMerge/>
            <w:vAlign w:val="center"/>
            <w:hideMark/>
          </w:tcPr>
          <w:p w:rsidR="00EB4A27" w:rsidRPr="00EB4A27" w:rsidRDefault="00EB4A27" w:rsidP="00EB4A27">
            <w:pPr>
              <w:rPr>
                <w:rFonts w:asciiTheme="minorHAnsi" w:hAnsiTheme="minorHAnsi"/>
                <w:color w:val="333333"/>
                <w:sz w:val="22"/>
                <w:szCs w:val="22"/>
                <w:lang w:val="fr-BE" w:eastAsia="nl-BE"/>
              </w:rPr>
            </w:pPr>
          </w:p>
        </w:tc>
        <w:tc>
          <w:tcPr>
            <w:tcW w:w="1695" w:type="dxa"/>
            <w:hideMark/>
          </w:tcPr>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 </w:t>
            </w:r>
          </w:p>
        </w:tc>
        <w:tc>
          <w:tcPr>
            <w:tcW w:w="0" w:type="auto"/>
            <w:vMerge/>
            <w:vAlign w:val="center"/>
            <w:hideMark/>
          </w:tcPr>
          <w:p w:rsidR="00EB4A27" w:rsidRPr="00EB4A27" w:rsidRDefault="00EB4A27" w:rsidP="00EB4A27">
            <w:pPr>
              <w:rPr>
                <w:rFonts w:asciiTheme="minorHAnsi" w:hAnsiTheme="minorHAnsi"/>
                <w:color w:val="333333"/>
                <w:sz w:val="22"/>
                <w:szCs w:val="22"/>
                <w:lang w:val="fr-BE" w:eastAsia="nl-BE"/>
              </w:rPr>
            </w:pPr>
          </w:p>
        </w:tc>
      </w:tr>
      <w:tr w:rsidR="00EB4A27" w:rsidRPr="00EB4A27" w:rsidTr="00EB4A27">
        <w:trPr>
          <w:tblCellSpacing w:w="0" w:type="dxa"/>
        </w:trPr>
        <w:tc>
          <w:tcPr>
            <w:tcW w:w="1695" w:type="dxa"/>
            <w:hideMark/>
          </w:tcPr>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Entreprises qui paient ou attribuent des rémunérations à des chercheurs qui ont un diplôme spécifique et qui sont engagés dans des projets ou programmes de recherche ou de développement</w:t>
            </w:r>
          </w:p>
        </w:tc>
        <w:tc>
          <w:tcPr>
            <w:tcW w:w="1425" w:type="dxa"/>
            <w:hideMark/>
          </w:tcPr>
          <w:p w:rsidR="00EB4A27" w:rsidRPr="00EB4A27" w:rsidRDefault="00EB4A27" w:rsidP="00EB4A27">
            <w:pPr>
              <w:rPr>
                <w:rFonts w:asciiTheme="minorHAnsi" w:hAnsiTheme="minorHAnsi"/>
                <w:color w:val="333333"/>
                <w:sz w:val="22"/>
                <w:szCs w:val="22"/>
                <w:lang w:eastAsia="nl-BE"/>
              </w:rPr>
            </w:pPr>
            <w:r w:rsidRPr="00EB4A27">
              <w:rPr>
                <w:rFonts w:asciiTheme="minorHAnsi" w:hAnsiTheme="minorHAnsi"/>
                <w:color w:val="333333"/>
                <w:sz w:val="22"/>
                <w:szCs w:val="22"/>
                <w:lang w:eastAsia="nl-BE"/>
              </w:rPr>
              <w:t>275</w:t>
            </w:r>
            <w:r w:rsidRPr="00EB4A27">
              <w:rPr>
                <w:rFonts w:asciiTheme="minorHAnsi" w:hAnsiTheme="minorHAnsi"/>
                <w:color w:val="333333"/>
                <w:sz w:val="22"/>
                <w:szCs w:val="22"/>
                <w:vertAlign w:val="superscript"/>
                <w:lang w:eastAsia="nl-BE"/>
              </w:rPr>
              <w:t>3</w:t>
            </w:r>
            <w:r w:rsidRPr="00EB4A27">
              <w:rPr>
                <w:rFonts w:asciiTheme="minorHAnsi" w:hAnsiTheme="minorHAnsi"/>
                <w:color w:val="333333"/>
                <w:sz w:val="22"/>
                <w:szCs w:val="22"/>
                <w:lang w:eastAsia="nl-BE"/>
              </w:rPr>
              <w:t>, § 1</w:t>
            </w:r>
            <w:r w:rsidRPr="00EB4A27">
              <w:rPr>
                <w:rFonts w:asciiTheme="minorHAnsi" w:hAnsiTheme="minorHAnsi"/>
                <w:color w:val="333333"/>
                <w:sz w:val="22"/>
                <w:szCs w:val="22"/>
                <w:vertAlign w:val="superscript"/>
                <w:lang w:eastAsia="nl-BE"/>
              </w:rPr>
              <w:t>er</w:t>
            </w:r>
            <w:r w:rsidRPr="00EB4A27">
              <w:rPr>
                <w:rFonts w:asciiTheme="minorHAnsi" w:hAnsiTheme="minorHAnsi"/>
                <w:color w:val="333333"/>
                <w:sz w:val="22"/>
                <w:szCs w:val="22"/>
                <w:lang w:eastAsia="nl-BE"/>
              </w:rPr>
              <w:t>, al. 3, 3°</w:t>
            </w:r>
          </w:p>
        </w:tc>
        <w:tc>
          <w:tcPr>
            <w:tcW w:w="1695" w:type="dxa"/>
            <w:hideMark/>
          </w:tcPr>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Chercheurs détenteurs d'un diplôme spécifique et  engagés dans des projets ou programmes de recherche ou de développement</w:t>
            </w:r>
          </w:p>
        </w:tc>
        <w:tc>
          <w:tcPr>
            <w:tcW w:w="1410" w:type="dxa"/>
            <w:hideMark/>
          </w:tcPr>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 xml:space="preserve">Point III, e), al. 2 de l’annexe </w:t>
            </w:r>
            <w:proofErr w:type="spellStart"/>
            <w:r w:rsidRPr="00EB4A27">
              <w:rPr>
                <w:rFonts w:asciiTheme="minorHAnsi" w:hAnsiTheme="minorHAnsi"/>
                <w:color w:val="333333"/>
                <w:sz w:val="22"/>
                <w:szCs w:val="22"/>
                <w:lang w:val="fr-BE" w:eastAsia="nl-BE"/>
              </w:rPr>
              <w:t>III</w:t>
            </w:r>
            <w:r w:rsidRPr="00EB4A27">
              <w:rPr>
                <w:rFonts w:asciiTheme="minorHAnsi" w:hAnsiTheme="minorHAnsi"/>
                <w:i/>
                <w:iCs/>
                <w:color w:val="333333"/>
                <w:sz w:val="22"/>
                <w:szCs w:val="22"/>
                <w:lang w:val="fr-BE" w:eastAsia="nl-BE"/>
              </w:rPr>
              <w:t>ter</w:t>
            </w:r>
            <w:proofErr w:type="spellEnd"/>
            <w:r w:rsidRPr="00EB4A27">
              <w:rPr>
                <w:rFonts w:asciiTheme="minorHAnsi" w:hAnsiTheme="minorHAnsi"/>
                <w:color w:val="333333"/>
                <w:sz w:val="22"/>
                <w:szCs w:val="22"/>
                <w:lang w:val="fr-BE" w:eastAsia="nl-BE"/>
              </w:rPr>
              <w:t>, AR/CIR 92</w:t>
            </w:r>
          </w:p>
        </w:tc>
        <w:tc>
          <w:tcPr>
            <w:tcW w:w="1695" w:type="dxa"/>
            <w:hideMark/>
          </w:tcPr>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Un des diplômes énumérés à l’article 275</w:t>
            </w:r>
            <w:r w:rsidRPr="00EB4A27">
              <w:rPr>
                <w:rFonts w:asciiTheme="minorHAnsi" w:hAnsiTheme="minorHAnsi"/>
                <w:color w:val="333333"/>
                <w:sz w:val="22"/>
                <w:szCs w:val="22"/>
                <w:vertAlign w:val="superscript"/>
                <w:lang w:val="fr-BE" w:eastAsia="nl-BE"/>
              </w:rPr>
              <w:t>3</w:t>
            </w:r>
            <w:r w:rsidRPr="00EB4A27">
              <w:rPr>
                <w:rFonts w:asciiTheme="minorHAnsi" w:hAnsiTheme="minorHAnsi"/>
                <w:color w:val="333333"/>
                <w:sz w:val="22"/>
                <w:szCs w:val="22"/>
                <w:lang w:val="fr-BE" w:eastAsia="nl-BE"/>
              </w:rPr>
              <w:t>, § 2, CIR 92</w:t>
            </w:r>
          </w:p>
        </w:tc>
        <w:tc>
          <w:tcPr>
            <w:tcW w:w="1845" w:type="dxa"/>
            <w:hideMark/>
          </w:tcPr>
          <w:p w:rsidR="00EB4A27" w:rsidRPr="00EB4A27" w:rsidRDefault="00EB4A27" w:rsidP="00EB4A27">
            <w:pPr>
              <w:rPr>
                <w:rFonts w:asciiTheme="minorHAnsi" w:hAnsiTheme="minorHAnsi"/>
                <w:color w:val="333333"/>
                <w:sz w:val="22"/>
                <w:szCs w:val="22"/>
                <w:lang w:eastAsia="nl-BE"/>
              </w:rPr>
            </w:pPr>
            <w:proofErr w:type="spellStart"/>
            <w:r w:rsidRPr="00EB4A27">
              <w:rPr>
                <w:rFonts w:asciiTheme="minorHAnsi" w:hAnsiTheme="minorHAnsi"/>
                <w:color w:val="333333"/>
                <w:sz w:val="22"/>
                <w:szCs w:val="22"/>
                <w:lang w:eastAsia="nl-BE"/>
              </w:rPr>
              <w:t>Règle</w:t>
            </w:r>
            <w:proofErr w:type="spellEnd"/>
            <w:r w:rsidRPr="00EB4A27">
              <w:rPr>
                <w:rFonts w:asciiTheme="minorHAnsi" w:hAnsiTheme="minorHAnsi"/>
                <w:color w:val="333333"/>
                <w:sz w:val="22"/>
                <w:szCs w:val="22"/>
                <w:lang w:eastAsia="nl-BE"/>
              </w:rPr>
              <w:t xml:space="preserve"> du </w:t>
            </w:r>
            <w:proofErr w:type="spellStart"/>
            <w:r w:rsidRPr="00EB4A27">
              <w:rPr>
                <w:rFonts w:asciiTheme="minorHAnsi" w:hAnsiTheme="minorHAnsi"/>
                <w:color w:val="333333"/>
                <w:sz w:val="22"/>
                <w:szCs w:val="22"/>
                <w:lang w:eastAsia="nl-BE"/>
              </w:rPr>
              <w:t>prorata</w:t>
            </w:r>
            <w:proofErr w:type="spellEnd"/>
          </w:p>
        </w:tc>
      </w:tr>
    </w:tbl>
    <w:p w:rsidR="009D285E" w:rsidRDefault="009D285E" w:rsidP="00EB4A27">
      <w:pPr>
        <w:outlineLvl w:val="0"/>
        <w:rPr>
          <w:rFonts w:asciiTheme="minorHAnsi" w:hAnsiTheme="minorHAnsi"/>
          <w:b/>
          <w:bCs/>
          <w:color w:val="333333"/>
          <w:kern w:val="36"/>
          <w:sz w:val="22"/>
          <w:szCs w:val="22"/>
          <w:lang w:val="fr-BE" w:eastAsia="nl-BE"/>
        </w:rPr>
      </w:pPr>
    </w:p>
    <w:p w:rsidR="00EB4A27" w:rsidRPr="00EB4A27" w:rsidRDefault="00EB4A27" w:rsidP="00EB4A27">
      <w:pPr>
        <w:outlineLvl w:val="0"/>
        <w:rPr>
          <w:rFonts w:asciiTheme="minorHAnsi" w:hAnsiTheme="minorHAnsi"/>
          <w:b/>
          <w:bCs/>
          <w:color w:val="333333"/>
          <w:kern w:val="36"/>
          <w:sz w:val="22"/>
          <w:szCs w:val="22"/>
          <w:lang w:val="fr-BE" w:eastAsia="nl-BE"/>
        </w:rPr>
      </w:pPr>
      <w:bookmarkStart w:id="0" w:name="_GoBack"/>
      <w:bookmarkEnd w:id="0"/>
      <w:r w:rsidRPr="00EB4A27">
        <w:rPr>
          <w:rFonts w:asciiTheme="minorHAnsi" w:hAnsiTheme="minorHAnsi"/>
          <w:b/>
          <w:bCs/>
          <w:color w:val="333333"/>
          <w:kern w:val="36"/>
          <w:sz w:val="22"/>
          <w:szCs w:val="22"/>
          <w:lang w:val="fr-BE" w:eastAsia="nl-BE"/>
        </w:rPr>
        <w:t>ENTREE EN VIGUEUR</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37. Les positions administratives développées dans la présente circulaire entrent en vigueur immédiatement et ce, à tous les stades de la procédure.</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 </w:t>
      </w:r>
    </w:p>
    <w:p w:rsidR="00EB4A27" w:rsidRPr="00EB4A27" w:rsidRDefault="00EB4A27" w:rsidP="00EB4A27">
      <w:pPr>
        <w:rPr>
          <w:rFonts w:asciiTheme="minorHAnsi" w:hAnsiTheme="minorHAnsi"/>
          <w:color w:val="333333"/>
          <w:sz w:val="22"/>
          <w:szCs w:val="22"/>
          <w:lang w:val="fr-BE" w:eastAsia="nl-BE"/>
        </w:rPr>
      </w:pPr>
      <w:r w:rsidRPr="00EB4A27">
        <w:rPr>
          <w:rFonts w:asciiTheme="minorHAnsi" w:hAnsiTheme="minorHAnsi"/>
          <w:color w:val="333333"/>
          <w:sz w:val="22"/>
          <w:szCs w:val="22"/>
          <w:lang w:val="fr-BE" w:eastAsia="nl-BE"/>
        </w:rPr>
        <w:t> </w:t>
      </w:r>
    </w:p>
    <w:p w:rsidR="00EB4A27" w:rsidRPr="00EB4A27" w:rsidRDefault="00EB4A27" w:rsidP="00EB4A27">
      <w:pPr>
        <w:rPr>
          <w:rFonts w:asciiTheme="minorHAnsi" w:hAnsiTheme="minorHAnsi"/>
          <w:color w:val="333333"/>
          <w:sz w:val="22"/>
          <w:szCs w:val="22"/>
          <w:lang w:eastAsia="nl-BE"/>
        </w:rPr>
      </w:pPr>
      <w:r w:rsidRPr="00EB4A27">
        <w:rPr>
          <w:rFonts w:asciiTheme="minorHAnsi" w:hAnsiTheme="minorHAnsi"/>
          <w:color w:val="333333"/>
          <w:sz w:val="22"/>
          <w:szCs w:val="22"/>
          <w:lang w:eastAsia="nl-BE"/>
        </w:rPr>
        <w:t>Johan VAN OVERTVELDT</w:t>
      </w:r>
      <w:r w:rsidRPr="00EB4A27">
        <w:rPr>
          <w:rFonts w:asciiTheme="minorHAnsi" w:hAnsiTheme="minorHAnsi"/>
          <w:color w:val="333333"/>
          <w:sz w:val="22"/>
          <w:szCs w:val="22"/>
          <w:lang w:eastAsia="nl-BE"/>
        </w:rPr>
        <w:br/>
      </w:r>
      <w:proofErr w:type="spellStart"/>
      <w:r w:rsidRPr="00EB4A27">
        <w:rPr>
          <w:rFonts w:asciiTheme="minorHAnsi" w:hAnsiTheme="minorHAnsi"/>
          <w:color w:val="333333"/>
          <w:sz w:val="22"/>
          <w:szCs w:val="22"/>
          <w:lang w:eastAsia="nl-BE"/>
        </w:rPr>
        <w:t>Ministre</w:t>
      </w:r>
      <w:proofErr w:type="spellEnd"/>
      <w:r w:rsidRPr="00EB4A27">
        <w:rPr>
          <w:rFonts w:asciiTheme="minorHAnsi" w:hAnsiTheme="minorHAnsi"/>
          <w:color w:val="333333"/>
          <w:sz w:val="22"/>
          <w:szCs w:val="22"/>
          <w:lang w:eastAsia="nl-BE"/>
        </w:rPr>
        <w:t xml:space="preserve"> des </w:t>
      </w:r>
      <w:proofErr w:type="spellStart"/>
      <w:r w:rsidRPr="00EB4A27">
        <w:rPr>
          <w:rFonts w:asciiTheme="minorHAnsi" w:hAnsiTheme="minorHAnsi"/>
          <w:color w:val="333333"/>
          <w:sz w:val="22"/>
          <w:szCs w:val="22"/>
          <w:lang w:eastAsia="nl-BE"/>
        </w:rPr>
        <w:t>Finances</w:t>
      </w:r>
      <w:proofErr w:type="spellEnd"/>
    </w:p>
    <w:p w:rsidR="00EB4A27" w:rsidRPr="00EB4A27" w:rsidRDefault="00EB4A27" w:rsidP="00EB4A27">
      <w:pPr>
        <w:rPr>
          <w:rFonts w:asciiTheme="minorHAnsi" w:hAnsiTheme="minorHAnsi"/>
          <w:sz w:val="22"/>
          <w:szCs w:val="22"/>
        </w:rPr>
      </w:pPr>
    </w:p>
    <w:p w:rsidR="00EB4A27" w:rsidRPr="00EB4A27" w:rsidRDefault="00EB4A27" w:rsidP="00EB4A27">
      <w:pPr>
        <w:rPr>
          <w:rFonts w:asciiTheme="minorHAnsi" w:hAnsiTheme="minorHAnsi"/>
          <w:sz w:val="22"/>
          <w:szCs w:val="22"/>
        </w:rPr>
      </w:pPr>
    </w:p>
    <w:sectPr w:rsidR="00EB4A27" w:rsidRPr="00EB4A2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27"/>
    <w:rsid w:val="009D285E"/>
    <w:rsid w:val="00A53516"/>
    <w:rsid w:val="00B627A2"/>
    <w:rsid w:val="00EB4A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88499">
      <w:bodyDiv w:val="1"/>
      <w:marLeft w:val="0"/>
      <w:marRight w:val="0"/>
      <w:marTop w:val="0"/>
      <w:marBottom w:val="0"/>
      <w:divBdr>
        <w:top w:val="none" w:sz="0" w:space="0" w:color="auto"/>
        <w:left w:val="none" w:sz="0" w:space="0" w:color="auto"/>
        <w:bottom w:val="none" w:sz="0" w:space="0" w:color="auto"/>
        <w:right w:val="none" w:sz="0" w:space="0" w:color="auto"/>
      </w:divBdr>
      <w:divsChild>
        <w:div w:id="26026748">
          <w:marLeft w:val="225"/>
          <w:marRight w:val="225"/>
          <w:marTop w:val="0"/>
          <w:marBottom w:val="0"/>
          <w:divBdr>
            <w:top w:val="none" w:sz="0" w:space="0" w:color="auto"/>
            <w:left w:val="none" w:sz="0" w:space="0" w:color="auto"/>
            <w:bottom w:val="none" w:sz="0" w:space="0" w:color="auto"/>
            <w:right w:val="none" w:sz="0" w:space="0" w:color="auto"/>
          </w:divBdr>
          <w:divsChild>
            <w:div w:id="2140371162">
              <w:marLeft w:val="0"/>
              <w:marRight w:val="0"/>
              <w:marTop w:val="0"/>
              <w:marBottom w:val="0"/>
              <w:divBdr>
                <w:top w:val="none" w:sz="0" w:space="0" w:color="auto"/>
                <w:left w:val="none" w:sz="0" w:space="0" w:color="auto"/>
                <w:bottom w:val="none" w:sz="0" w:space="0" w:color="auto"/>
                <w:right w:val="none" w:sz="0" w:space="0" w:color="auto"/>
              </w:divBdr>
              <w:divsChild>
                <w:div w:id="903948361">
                  <w:marLeft w:val="15"/>
                  <w:marRight w:val="20"/>
                  <w:marTop w:val="0"/>
                  <w:marBottom w:val="0"/>
                  <w:divBdr>
                    <w:top w:val="none" w:sz="0" w:space="0" w:color="auto"/>
                    <w:left w:val="none" w:sz="0" w:space="0" w:color="auto"/>
                    <w:bottom w:val="none" w:sz="0" w:space="0" w:color="auto"/>
                    <w:right w:val="none" w:sz="0" w:space="0" w:color="auto"/>
                  </w:divBdr>
                </w:div>
              </w:divsChild>
            </w:div>
          </w:divsChild>
        </w:div>
      </w:divsChild>
    </w:div>
    <w:div w:id="1658728404">
      <w:bodyDiv w:val="1"/>
      <w:marLeft w:val="0"/>
      <w:marRight w:val="0"/>
      <w:marTop w:val="0"/>
      <w:marBottom w:val="0"/>
      <w:divBdr>
        <w:top w:val="none" w:sz="0" w:space="0" w:color="auto"/>
        <w:left w:val="none" w:sz="0" w:space="0" w:color="auto"/>
        <w:bottom w:val="none" w:sz="0" w:space="0" w:color="auto"/>
        <w:right w:val="none" w:sz="0" w:space="0" w:color="auto"/>
      </w:divBdr>
      <w:divsChild>
        <w:div w:id="91970870">
          <w:marLeft w:val="225"/>
          <w:marRight w:val="225"/>
          <w:marTop w:val="0"/>
          <w:marBottom w:val="0"/>
          <w:divBdr>
            <w:top w:val="none" w:sz="0" w:space="0" w:color="auto"/>
            <w:left w:val="none" w:sz="0" w:space="0" w:color="auto"/>
            <w:bottom w:val="none" w:sz="0" w:space="0" w:color="auto"/>
            <w:right w:val="none" w:sz="0" w:space="0" w:color="auto"/>
          </w:divBdr>
          <w:divsChild>
            <w:div w:id="35089536">
              <w:marLeft w:val="0"/>
              <w:marRight w:val="0"/>
              <w:marTop w:val="0"/>
              <w:marBottom w:val="0"/>
              <w:divBdr>
                <w:top w:val="none" w:sz="0" w:space="0" w:color="auto"/>
                <w:left w:val="none" w:sz="0" w:space="0" w:color="auto"/>
                <w:bottom w:val="none" w:sz="0" w:space="0" w:color="auto"/>
                <w:right w:val="none" w:sz="0" w:space="0" w:color="auto"/>
              </w:divBdr>
              <w:divsChild>
                <w:div w:id="331297539">
                  <w:marLeft w:val="15"/>
                  <w:marRight w:val="2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or\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14</TotalTime>
  <Pages>8</Pages>
  <Words>3238</Words>
  <Characters>17810</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Belspo</Company>
  <LinksUpToDate>false</LinksUpToDate>
  <CharactersWithSpaces>21006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VANHORENBEECK Ann</dc:creator>
  <cp:lastModifiedBy>VANHORENBEECK Ann</cp:lastModifiedBy>
  <cp:revision>1</cp:revision>
  <dcterms:created xsi:type="dcterms:W3CDTF">2015-11-04T12:00:00Z</dcterms:created>
  <dcterms:modified xsi:type="dcterms:W3CDTF">2015-11-04T12:14:00Z</dcterms:modified>
</cp:coreProperties>
</file>